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AB40A" w14:textId="77777777" w:rsidR="006F347D" w:rsidRPr="006F347D" w:rsidRDefault="006F347D" w:rsidP="006F347D">
      <w:pPr>
        <w:pStyle w:val="QIPConsultingHeading2"/>
        <w:numPr>
          <w:ilvl w:val="0"/>
          <w:numId w:val="0"/>
        </w:numPr>
        <w:ind w:left="680" w:hanging="680"/>
        <w:rPr>
          <w:lang w:val="en-US"/>
        </w:rPr>
      </w:pPr>
      <w:bookmarkStart w:id="0" w:name="_Toc482698449"/>
      <w:bookmarkStart w:id="1" w:name="_Toc111698747"/>
      <w:r w:rsidRPr="00D21BE9">
        <w:t>Refusal to treat a patient</w:t>
      </w:r>
      <w:bookmarkEnd w:id="0"/>
      <w:bookmarkEnd w:id="1"/>
      <w:r>
        <w:rPr>
          <w:rFonts w:hint="eastAsia"/>
          <w:lang w:eastAsia="zh-CN"/>
        </w:rPr>
        <w:t>/</w:t>
      </w:r>
      <w:r>
        <w:rPr>
          <w:lang w:eastAsia="zh-CN"/>
        </w:rPr>
        <w:t xml:space="preserve"> </w:t>
      </w:r>
      <w:r w:rsidRPr="006F347D">
        <w:rPr>
          <w:lang w:val="en-US"/>
        </w:rPr>
        <w:t>Ceasing Patient Care Policy</w:t>
      </w:r>
    </w:p>
    <w:p w14:paraId="7389FE3A" w14:textId="67198C51" w:rsidR="006F347D" w:rsidRPr="006F347D" w:rsidRDefault="006F347D" w:rsidP="006F347D">
      <w:pPr>
        <w:pStyle w:val="QIPConsultingHeading2"/>
        <w:numPr>
          <w:ilvl w:val="0"/>
          <w:numId w:val="0"/>
        </w:numPr>
        <w:ind w:left="680" w:hanging="680"/>
        <w:rPr>
          <w:lang w:val="en-US" w:eastAsia="zh-CN"/>
        </w:rPr>
      </w:pPr>
    </w:p>
    <w:p w14:paraId="0FEADCFA" w14:textId="4B3846A3" w:rsidR="006F347D" w:rsidRPr="00D21BE9" w:rsidRDefault="006F347D" w:rsidP="006F347D">
      <w:pPr>
        <w:pStyle w:val="QIPConsultingHeadingLevel3"/>
        <w:numPr>
          <w:ilvl w:val="0"/>
          <w:numId w:val="12"/>
        </w:numPr>
        <w:jc w:val="both"/>
        <w:rPr>
          <w:color w:val="000000" w:themeColor="text1"/>
        </w:rPr>
      </w:pPr>
      <w:bookmarkStart w:id="2" w:name="_Toc111698748"/>
      <w:r w:rsidRPr="00D21BE9">
        <w:rPr>
          <w:color w:val="000000" w:themeColor="text1"/>
        </w:rPr>
        <w:t>Policy</w:t>
      </w:r>
      <w:bookmarkEnd w:id="2"/>
    </w:p>
    <w:p w14:paraId="402C177F" w14:textId="77777777" w:rsidR="006F347D" w:rsidRPr="00D21BE9" w:rsidRDefault="006F347D" w:rsidP="006F347D">
      <w:pPr>
        <w:jc w:val="both"/>
        <w:rPr>
          <w:color w:val="000000" w:themeColor="text1"/>
        </w:rPr>
      </w:pPr>
    </w:p>
    <w:p w14:paraId="5508D5B5" w14:textId="77777777" w:rsidR="006F347D" w:rsidRDefault="006F347D" w:rsidP="006F347D">
      <w:pPr>
        <w:jc w:val="both"/>
        <w:rPr>
          <w:color w:val="000000" w:themeColor="text1"/>
        </w:rPr>
      </w:pPr>
      <w:r w:rsidRPr="00D21BE9">
        <w:rPr>
          <w:color w:val="000000" w:themeColor="text1"/>
        </w:rPr>
        <w:t>Our practice or individual medical and clinical team members have the right to refuse to treat patients in defined circumstances. In these circumstances, our practice ensures arrangements are made for the timely transfer of the patients care to another member of the medical or clinical team in our practice or to another practice.</w:t>
      </w:r>
      <w:bookmarkStart w:id="3" w:name="_Toc111698749"/>
    </w:p>
    <w:p w14:paraId="12850DD9" w14:textId="77777777" w:rsidR="00CF7B27" w:rsidRDefault="00CF7B27" w:rsidP="006F347D">
      <w:pPr>
        <w:jc w:val="both"/>
        <w:rPr>
          <w:color w:val="000000" w:themeColor="text1"/>
        </w:rPr>
      </w:pPr>
    </w:p>
    <w:p w14:paraId="4802C8CC" w14:textId="65685D62" w:rsidR="006F347D" w:rsidRPr="006F347D" w:rsidRDefault="006F347D" w:rsidP="006F347D">
      <w:pPr>
        <w:pStyle w:val="ListParagraph"/>
        <w:numPr>
          <w:ilvl w:val="0"/>
          <w:numId w:val="12"/>
        </w:numPr>
        <w:jc w:val="both"/>
        <w:rPr>
          <w:b/>
          <w:bCs/>
          <w:color w:val="000000" w:themeColor="text1"/>
        </w:rPr>
      </w:pPr>
      <w:r w:rsidRPr="006F347D">
        <w:rPr>
          <w:b/>
          <w:bCs/>
          <w:color w:val="000000" w:themeColor="text1"/>
        </w:rPr>
        <w:t xml:space="preserve"> Procedure</w:t>
      </w:r>
      <w:bookmarkEnd w:id="3"/>
    </w:p>
    <w:p w14:paraId="3ADB6C85" w14:textId="77777777" w:rsidR="006F347D" w:rsidRPr="00D21BE9" w:rsidRDefault="006F347D" w:rsidP="006F347D">
      <w:pPr>
        <w:jc w:val="both"/>
        <w:rPr>
          <w:color w:val="000000" w:themeColor="text1"/>
        </w:rPr>
      </w:pPr>
      <w:r w:rsidRPr="00D21BE9">
        <w:rPr>
          <w:color w:val="000000" w:themeColor="text1"/>
        </w:rPr>
        <w:t>Any refusal to treat a patient is done for substantial reasons, not based on discrimination (gender, sexual preference, religion, race, illness type).</w:t>
      </w:r>
    </w:p>
    <w:p w14:paraId="1C534858" w14:textId="77777777" w:rsidR="006F347D" w:rsidRPr="00D21BE9" w:rsidRDefault="006F347D" w:rsidP="006F347D">
      <w:pPr>
        <w:jc w:val="both"/>
        <w:rPr>
          <w:color w:val="000000" w:themeColor="text1"/>
        </w:rPr>
      </w:pPr>
      <w:r w:rsidRPr="00D21BE9">
        <w:rPr>
          <w:color w:val="000000" w:themeColor="text1"/>
        </w:rPr>
        <w:t>Patients in emergency situations will always be treated to the best of our ability. Emergency medical treatment is defined as treatment that is necessary to:</w:t>
      </w:r>
    </w:p>
    <w:p w14:paraId="420B1BC7" w14:textId="77777777" w:rsidR="006F347D" w:rsidRPr="00D21BE9" w:rsidRDefault="006F347D" w:rsidP="006F347D">
      <w:pPr>
        <w:pStyle w:val="QIPbullet"/>
        <w:jc w:val="both"/>
        <w:rPr>
          <w:color w:val="000000" w:themeColor="text1"/>
        </w:rPr>
      </w:pPr>
      <w:r w:rsidRPr="00D21BE9">
        <w:rPr>
          <w:color w:val="000000" w:themeColor="text1"/>
        </w:rPr>
        <w:t>Save a patient’s life, and/or</w:t>
      </w:r>
    </w:p>
    <w:p w14:paraId="3F3589E5" w14:textId="77777777" w:rsidR="006F347D" w:rsidRPr="00D21BE9" w:rsidRDefault="006F347D" w:rsidP="006F347D">
      <w:pPr>
        <w:pStyle w:val="QIPbullet"/>
        <w:jc w:val="both"/>
        <w:rPr>
          <w:color w:val="000000" w:themeColor="text1"/>
        </w:rPr>
      </w:pPr>
      <w:r w:rsidRPr="00D21BE9">
        <w:rPr>
          <w:color w:val="000000" w:themeColor="text1"/>
        </w:rPr>
        <w:t>Prevent serious damage to health, and/or</w:t>
      </w:r>
    </w:p>
    <w:p w14:paraId="03F7DF8D" w14:textId="77777777" w:rsidR="006F347D" w:rsidRPr="00D21BE9" w:rsidRDefault="006F347D" w:rsidP="006F347D">
      <w:pPr>
        <w:pStyle w:val="QIPbullet"/>
        <w:jc w:val="both"/>
        <w:rPr>
          <w:color w:val="000000" w:themeColor="text1"/>
        </w:rPr>
      </w:pPr>
      <w:r w:rsidRPr="00D21BE9">
        <w:rPr>
          <w:color w:val="000000" w:themeColor="text1"/>
        </w:rPr>
        <w:t xml:space="preserve">Prevent or alleviate significant pain or distress. </w:t>
      </w:r>
    </w:p>
    <w:p w14:paraId="5747D107" w14:textId="77777777" w:rsidR="006F347D" w:rsidRPr="00D21BE9" w:rsidRDefault="006F347D" w:rsidP="006F347D">
      <w:pPr>
        <w:jc w:val="both"/>
        <w:rPr>
          <w:color w:val="000000" w:themeColor="text1"/>
        </w:rPr>
      </w:pPr>
    </w:p>
    <w:p w14:paraId="792AEB35" w14:textId="77777777" w:rsidR="006F347D" w:rsidRPr="00D21BE9" w:rsidRDefault="006F347D" w:rsidP="006F347D">
      <w:pPr>
        <w:jc w:val="both"/>
        <w:rPr>
          <w:color w:val="000000" w:themeColor="text1"/>
        </w:rPr>
      </w:pPr>
      <w:r w:rsidRPr="00D21BE9">
        <w:rPr>
          <w:color w:val="000000" w:themeColor="text1"/>
        </w:rPr>
        <w:t>Reasons that may give rise for a general practitioner or a member of the clinical team to no longer consider it appropriate to treat a particular patient include a breakdown in the practitioner/patient relationship, patient threats or aggressive behaviour, overloaded practice or patients with conditions outside the range treated by the practitioner.</w:t>
      </w:r>
    </w:p>
    <w:p w14:paraId="7E8E3F25" w14:textId="77777777" w:rsidR="006F347D" w:rsidRPr="00D21BE9" w:rsidRDefault="006F347D" w:rsidP="006F347D">
      <w:pPr>
        <w:jc w:val="both"/>
        <w:rPr>
          <w:color w:val="000000" w:themeColor="text1"/>
        </w:rPr>
      </w:pPr>
    </w:p>
    <w:p w14:paraId="3219680D" w14:textId="77777777" w:rsidR="006F347D" w:rsidRPr="00D21BE9" w:rsidRDefault="006F347D" w:rsidP="006F347D">
      <w:pPr>
        <w:jc w:val="both"/>
        <w:rPr>
          <w:color w:val="000000" w:themeColor="text1"/>
        </w:rPr>
      </w:pPr>
      <w:r w:rsidRPr="00D21BE9">
        <w:rPr>
          <w:color w:val="000000" w:themeColor="text1"/>
        </w:rPr>
        <w:t>An appropriate risk management strategy to be followed when exercising the right to refuse to treat patients includes ensuring that:</w:t>
      </w:r>
    </w:p>
    <w:p w14:paraId="13B98D12" w14:textId="77777777" w:rsidR="006F347D" w:rsidRPr="00D21BE9" w:rsidRDefault="006F347D" w:rsidP="006F347D">
      <w:pPr>
        <w:pStyle w:val="QIPbullet"/>
        <w:jc w:val="both"/>
        <w:rPr>
          <w:color w:val="000000" w:themeColor="text1"/>
        </w:rPr>
      </w:pPr>
      <w:r w:rsidRPr="00D21BE9">
        <w:rPr>
          <w:color w:val="000000" w:themeColor="text1"/>
        </w:rPr>
        <w:t>The patient has been provided reasons why they cannot have ongoing treatment by the practitioner/practice</w:t>
      </w:r>
    </w:p>
    <w:p w14:paraId="5065B6EB" w14:textId="77777777" w:rsidR="006F347D" w:rsidRPr="00D21BE9" w:rsidRDefault="006F347D" w:rsidP="006F347D">
      <w:pPr>
        <w:pStyle w:val="QIPbullet"/>
        <w:jc w:val="both"/>
        <w:rPr>
          <w:color w:val="000000" w:themeColor="text1"/>
        </w:rPr>
      </w:pPr>
      <w:r w:rsidRPr="00D21BE9">
        <w:rPr>
          <w:color w:val="000000" w:themeColor="text1"/>
        </w:rPr>
        <w:t xml:space="preserve">The patient has been provided with alternative possible treatment locations </w:t>
      </w:r>
    </w:p>
    <w:p w14:paraId="692724DE" w14:textId="77777777" w:rsidR="006F347D" w:rsidRPr="00D21BE9" w:rsidRDefault="006F347D" w:rsidP="006F347D">
      <w:pPr>
        <w:pStyle w:val="QIPbullet"/>
        <w:jc w:val="both"/>
        <w:rPr>
          <w:color w:val="000000" w:themeColor="text1"/>
        </w:rPr>
      </w:pPr>
      <w:r w:rsidRPr="00D21BE9">
        <w:rPr>
          <w:color w:val="000000" w:themeColor="text1"/>
        </w:rPr>
        <w:t>Any complaints that may arise are dealt with according to the complaints procedure, and</w:t>
      </w:r>
    </w:p>
    <w:p w14:paraId="1DBE4E23" w14:textId="77777777" w:rsidR="006F347D" w:rsidRPr="00D21BE9" w:rsidRDefault="006F347D" w:rsidP="006F347D">
      <w:pPr>
        <w:pStyle w:val="QIPbullet"/>
        <w:jc w:val="both"/>
        <w:rPr>
          <w:color w:val="000000" w:themeColor="text1"/>
        </w:rPr>
      </w:pPr>
      <w:r w:rsidRPr="00D21BE9">
        <w:rPr>
          <w:color w:val="000000" w:themeColor="text1"/>
        </w:rPr>
        <w:t xml:space="preserve">Full documentation of the actions taken to the above is recorded in the patient’s health record. </w:t>
      </w:r>
    </w:p>
    <w:p w14:paraId="28C8675D" w14:textId="77777777" w:rsidR="006F347D" w:rsidRPr="00D21BE9" w:rsidRDefault="006F347D" w:rsidP="006F347D">
      <w:pPr>
        <w:jc w:val="both"/>
        <w:rPr>
          <w:color w:val="000000" w:themeColor="text1"/>
        </w:rPr>
      </w:pPr>
    </w:p>
    <w:p w14:paraId="1013836D" w14:textId="78EF14D5" w:rsidR="008828D9" w:rsidRPr="006F347D" w:rsidRDefault="006F347D" w:rsidP="006F347D">
      <w:pPr>
        <w:jc w:val="both"/>
        <w:rPr>
          <w:color w:val="000000" w:themeColor="text1"/>
        </w:rPr>
      </w:pPr>
      <w:r w:rsidRPr="00D21BE9">
        <w:rPr>
          <w:color w:val="000000" w:themeColor="text1"/>
        </w:rPr>
        <w:t xml:space="preserve">Our practice will endeavour to assist such patients with ongoing care, including the provision of a written referral to other healthcare providers and a transfer of any medical history. </w:t>
      </w:r>
    </w:p>
    <w:sectPr w:rsidR="008828D9" w:rsidRPr="006F347D" w:rsidSect="00356B42">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83BC1" w14:textId="77777777" w:rsidR="00292AE5" w:rsidRDefault="00292AE5" w:rsidP="00337A17">
      <w:pPr>
        <w:spacing w:after="0" w:line="240" w:lineRule="auto"/>
      </w:pPr>
      <w:r>
        <w:separator/>
      </w:r>
    </w:p>
  </w:endnote>
  <w:endnote w:type="continuationSeparator" w:id="0">
    <w:p w14:paraId="3F0834B9" w14:textId="77777777" w:rsidR="00292AE5" w:rsidRDefault="00292AE5" w:rsidP="0033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E6215" w14:textId="77777777" w:rsidR="00292AE5" w:rsidRDefault="00292AE5" w:rsidP="00337A17">
      <w:pPr>
        <w:spacing w:after="0" w:line="240" w:lineRule="auto"/>
      </w:pPr>
      <w:r>
        <w:separator/>
      </w:r>
    </w:p>
  </w:footnote>
  <w:footnote w:type="continuationSeparator" w:id="0">
    <w:p w14:paraId="2688E1C0" w14:textId="77777777" w:rsidR="00292AE5" w:rsidRDefault="00292AE5" w:rsidP="00337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AC035" w14:textId="6C3E4182" w:rsidR="00337A17" w:rsidRPr="00337A17" w:rsidRDefault="00337A17">
    <w:pPr>
      <w:pStyle w:val="Header"/>
      <w:rPr>
        <w:sz w:val="24"/>
        <w:szCs w:val="24"/>
      </w:rPr>
    </w:pPr>
    <w:r>
      <w:rPr>
        <w:sz w:val="24"/>
        <w:szCs w:val="24"/>
      </w:rPr>
      <w:tab/>
    </w:r>
    <w:r w:rsidRPr="00337A17">
      <w:rPr>
        <w:sz w:val="24"/>
        <w:szCs w:val="24"/>
      </w:rPr>
      <w:tab/>
    </w:r>
    <w:r w:rsidR="00CF7B27">
      <w:rPr>
        <w:noProof/>
        <w:sz w:val="24"/>
        <w:szCs w:val="24"/>
      </w:rPr>
      <w:drawing>
        <wp:inline distT="0" distB="0" distL="0" distR="0" wp14:anchorId="2B641848" wp14:editId="0857A27D">
          <wp:extent cx="623471" cy="580756"/>
          <wp:effectExtent l="0" t="0" r="0" b="3810"/>
          <wp:docPr id="837055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55936" name="Picture 837055936"/>
                  <pic:cNvPicPr/>
                </pic:nvPicPr>
                <pic:blipFill>
                  <a:blip r:embed="rId1">
                    <a:extLst>
                      <a:ext uri="{28A0092B-C50C-407E-A947-70E740481C1C}">
                        <a14:useLocalDpi xmlns:a14="http://schemas.microsoft.com/office/drawing/2010/main" val="0"/>
                      </a:ext>
                    </a:extLst>
                  </a:blip>
                  <a:stretch>
                    <a:fillRect/>
                  </a:stretch>
                </pic:blipFill>
                <pic:spPr>
                  <a:xfrm>
                    <a:off x="0" y="0"/>
                    <a:ext cx="635614" cy="5920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37D1"/>
    <w:multiLevelType w:val="hybridMultilevel"/>
    <w:tmpl w:val="A64051CC"/>
    <w:lvl w:ilvl="0" w:tplc="AED0D326">
      <w:start w:val="1"/>
      <w:numFmt w:val="bullet"/>
      <w:pStyle w:val="QIP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9DF6661"/>
    <w:multiLevelType w:val="hybridMultilevel"/>
    <w:tmpl w:val="983CB13A"/>
    <w:lvl w:ilvl="0" w:tplc="0C090001">
      <w:start w:val="1"/>
      <w:numFmt w:val="bullet"/>
      <w:lvlText w:val=""/>
      <w:lvlJc w:val="left"/>
      <w:pPr>
        <w:ind w:left="360" w:hanging="360"/>
      </w:pPr>
      <w:rPr>
        <w:rFonts w:ascii="Symbol" w:hAnsi="Symbol" w:hint="default"/>
        <w:color w:val="808080" w:themeColor="background1" w:themeShade="80"/>
        <w:sz w:val="20"/>
      </w:rPr>
    </w:lvl>
    <w:lvl w:ilvl="1" w:tplc="CD9212AE">
      <w:start w:val="1"/>
      <w:numFmt w:val="bullet"/>
      <w:pStyle w:val="Bullet2"/>
      <w:lvlText w:val=""/>
      <w:lvlJc w:val="left"/>
      <w:pPr>
        <w:ind w:left="1440" w:hanging="360"/>
      </w:pPr>
      <w:rPr>
        <w:rFonts w:ascii="Wingdings" w:hAnsi="Wingdings" w:hint="default"/>
        <w:color w:val="808080" w:themeColor="background1" w:themeShade="80"/>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AFDC1ED8">
      <w:start w:val="1"/>
      <w:numFmt w:val="bullet"/>
      <w:pStyle w:val="Bullet3"/>
      <w:lvlText w:val=""/>
      <w:lvlJc w:val="left"/>
      <w:pPr>
        <w:ind w:left="3600" w:hanging="360"/>
      </w:pPr>
      <w:rPr>
        <w:rFonts w:ascii="Wingdings" w:hAnsi="Wingdings" w:hint="default"/>
        <w:color w:val="808080" w:themeColor="background1" w:themeShade="80"/>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9537EF"/>
    <w:multiLevelType w:val="hybridMultilevel"/>
    <w:tmpl w:val="51F0F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1C7CE2"/>
    <w:multiLevelType w:val="multilevel"/>
    <w:tmpl w:val="00F62A22"/>
    <w:lvl w:ilvl="0">
      <w:start w:val="1"/>
      <w:numFmt w:val="decimal"/>
      <w:pStyle w:val="QIPConsultingHeading1"/>
      <w:lvlText w:val="%1."/>
      <w:lvlJc w:val="left"/>
      <w:pPr>
        <w:ind w:left="360" w:hanging="360"/>
      </w:pPr>
      <w:rPr>
        <w:rFonts w:hint="default"/>
      </w:rPr>
    </w:lvl>
    <w:lvl w:ilvl="1">
      <w:start w:val="1"/>
      <w:numFmt w:val="decimal"/>
      <w:pStyle w:val="QIPConsultingHeading2"/>
      <w:lvlText w:val="%2."/>
      <w:lvlJc w:val="left"/>
      <w:pPr>
        <w:ind w:left="1425" w:hanging="432"/>
      </w:pPr>
      <w:rPr>
        <w:rFonts w:ascii="Calibri" w:eastAsia="SimSun" w:hAnsi="Calibri" w:cs="Times New Roman"/>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B75553D"/>
    <w:multiLevelType w:val="multilevel"/>
    <w:tmpl w:val="FB429FF8"/>
    <w:lvl w:ilvl="0">
      <w:start w:val="1"/>
      <w:numFmt w:val="decimal"/>
      <w:pStyle w:val="Heading1"/>
      <w:lvlText w:val="%1"/>
      <w:lvlJc w:val="left"/>
      <w:pPr>
        <w:ind w:left="432" w:hanging="432"/>
      </w:pPr>
      <w:rPr>
        <w:rFonts w:hint="default"/>
        <w:b/>
        <w:sz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1431"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08A5A84"/>
    <w:multiLevelType w:val="multilevel"/>
    <w:tmpl w:val="7BC4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134FC1"/>
    <w:multiLevelType w:val="hybridMultilevel"/>
    <w:tmpl w:val="61289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986378"/>
    <w:multiLevelType w:val="multilevel"/>
    <w:tmpl w:val="74B4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887A47"/>
    <w:multiLevelType w:val="hybridMultilevel"/>
    <w:tmpl w:val="A46E9DEC"/>
    <w:lvl w:ilvl="0" w:tplc="9000CDE0">
      <w:start w:val="1"/>
      <w:numFmt w:val="bullet"/>
      <w:pStyle w:val="Locationofrelatedpolicyorprocedure"/>
      <w:lvlText w:val=""/>
      <w:lvlJc w:val="left"/>
      <w:pPr>
        <w:ind w:left="360" w:hanging="360"/>
      </w:pPr>
      <w:rPr>
        <w:rFonts w:ascii="Symbol" w:hAnsi="Symbol" w:hint="default"/>
        <w:color w:val="67A4BC"/>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9D34B1C"/>
    <w:multiLevelType w:val="hybridMultilevel"/>
    <w:tmpl w:val="CBCCC9D8"/>
    <w:lvl w:ilvl="0" w:tplc="B442F48E">
      <w:start w:val="1"/>
      <w:numFmt w:val="bullet"/>
      <w:pStyle w:val="Bullet1"/>
      <w:lvlText w:val=""/>
      <w:lvlJc w:val="left"/>
      <w:pPr>
        <w:ind w:left="360" w:hanging="360"/>
      </w:pPr>
      <w:rPr>
        <w:rFonts w:ascii="Symbol" w:hAnsi="Symbol" w:hint="default"/>
        <w:color w:val="808080" w:themeColor="background1" w:themeShade="80"/>
        <w:sz w:val="20"/>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A53065E"/>
    <w:multiLevelType w:val="multilevel"/>
    <w:tmpl w:val="E85804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92240551">
    <w:abstractNumId w:val="9"/>
  </w:num>
  <w:num w:numId="2" w16cid:durableId="453912420">
    <w:abstractNumId w:val="1"/>
  </w:num>
  <w:num w:numId="3" w16cid:durableId="763496852">
    <w:abstractNumId w:val="4"/>
  </w:num>
  <w:num w:numId="4" w16cid:durableId="1673029902">
    <w:abstractNumId w:val="8"/>
  </w:num>
  <w:num w:numId="5" w16cid:durableId="1643147600">
    <w:abstractNumId w:val="2"/>
  </w:num>
  <w:num w:numId="6" w16cid:durableId="298341627">
    <w:abstractNumId w:val="5"/>
  </w:num>
  <w:num w:numId="7" w16cid:durableId="1480655608">
    <w:abstractNumId w:val="7"/>
  </w:num>
  <w:num w:numId="8" w16cid:durableId="138770848">
    <w:abstractNumId w:val="3"/>
  </w:num>
  <w:num w:numId="9" w16cid:durableId="840238365">
    <w:abstractNumId w:val="0"/>
  </w:num>
  <w:num w:numId="10" w16cid:durableId="1120224025">
    <w:abstractNumId w:val="10"/>
  </w:num>
  <w:num w:numId="11" w16cid:durableId="1302806447">
    <w:abstractNumId w:val="3"/>
    <w:lvlOverride w:ilvl="0">
      <w:startOverride w:val="1"/>
    </w:lvlOverride>
  </w:num>
  <w:num w:numId="12" w16cid:durableId="13069340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A17"/>
    <w:rsid w:val="001115CD"/>
    <w:rsid w:val="00220881"/>
    <w:rsid w:val="00292AE5"/>
    <w:rsid w:val="00337A17"/>
    <w:rsid w:val="00356B42"/>
    <w:rsid w:val="006F347D"/>
    <w:rsid w:val="008828D9"/>
    <w:rsid w:val="00A03F0E"/>
    <w:rsid w:val="00B0794F"/>
    <w:rsid w:val="00CF7B27"/>
    <w:rsid w:val="00E0208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9F4B3D1"/>
  <w15:chartTrackingRefBased/>
  <w15:docId w15:val="{AD15D278-5226-4F4F-A7CF-0E847DFF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7A17"/>
    <w:pPr>
      <w:spacing w:after="200" w:line="276" w:lineRule="auto"/>
    </w:pPr>
    <w:rPr>
      <w:rFonts w:eastAsiaTheme="minorHAnsi"/>
      <w:sz w:val="22"/>
      <w:szCs w:val="22"/>
      <w:lang w:eastAsia="en-AU"/>
    </w:rPr>
  </w:style>
  <w:style w:type="paragraph" w:styleId="Heading1">
    <w:name w:val="heading 1"/>
    <w:basedOn w:val="Normal"/>
    <w:next w:val="Normal"/>
    <w:link w:val="Heading1Char"/>
    <w:autoRedefine/>
    <w:uiPriority w:val="9"/>
    <w:qFormat/>
    <w:rsid w:val="00337A17"/>
    <w:pPr>
      <w:keepNext/>
      <w:keepLines/>
      <w:numPr>
        <w:numId w:val="3"/>
      </w:numPr>
      <w:spacing w:before="240" w:after="240" w:line="240" w:lineRule="auto"/>
      <w:outlineLvl w:val="0"/>
    </w:pPr>
    <w:rPr>
      <w:rFonts w:ascii="Arial Narrow" w:eastAsiaTheme="majorEastAsia" w:hAnsi="Arial Narrow" w:cstheme="majorBidi"/>
      <w:b/>
      <w:bCs/>
      <w:caps/>
      <w:sz w:val="28"/>
      <w:szCs w:val="28"/>
    </w:rPr>
  </w:style>
  <w:style w:type="paragraph" w:styleId="Heading2">
    <w:name w:val="heading 2"/>
    <w:basedOn w:val="Heading1"/>
    <w:next w:val="Normal"/>
    <w:link w:val="Heading2Char"/>
    <w:uiPriority w:val="9"/>
    <w:unhideWhenUsed/>
    <w:qFormat/>
    <w:rsid w:val="00337A17"/>
    <w:pPr>
      <w:numPr>
        <w:ilvl w:val="1"/>
      </w:numPr>
      <w:spacing w:before="120" w:after="120"/>
      <w:outlineLvl w:val="1"/>
    </w:pPr>
    <w:rPr>
      <w:caps w:val="0"/>
      <w:color w:val="B40153"/>
      <w:szCs w:val="26"/>
    </w:rPr>
  </w:style>
  <w:style w:type="paragraph" w:styleId="Heading3">
    <w:name w:val="heading 3"/>
    <w:basedOn w:val="Heading2"/>
    <w:next w:val="Normal"/>
    <w:link w:val="Heading3Char"/>
    <w:autoRedefine/>
    <w:uiPriority w:val="9"/>
    <w:unhideWhenUsed/>
    <w:qFormat/>
    <w:rsid w:val="00337A17"/>
    <w:pPr>
      <w:keepNext w:val="0"/>
      <w:keepLines w:val="0"/>
      <w:numPr>
        <w:ilvl w:val="2"/>
      </w:numPr>
      <w:spacing w:after="240"/>
      <w:outlineLvl w:val="2"/>
    </w:pPr>
    <w:rPr>
      <w:color w:val="3C3C3C"/>
    </w:rPr>
  </w:style>
  <w:style w:type="paragraph" w:styleId="Heading4">
    <w:name w:val="heading 4"/>
    <w:basedOn w:val="Normal"/>
    <w:next w:val="Normal"/>
    <w:link w:val="Heading4Char"/>
    <w:unhideWhenUsed/>
    <w:qFormat/>
    <w:rsid w:val="00337A17"/>
    <w:pPr>
      <w:keepNext/>
      <w:keepLines/>
      <w:numPr>
        <w:ilvl w:val="3"/>
        <w:numId w:val="3"/>
      </w:numPr>
      <w:spacing w:before="120" w:after="120" w:line="240" w:lineRule="auto"/>
      <w:outlineLvl w:val="3"/>
    </w:pPr>
    <w:rPr>
      <w:rFonts w:ascii="Arial" w:eastAsiaTheme="majorEastAsia" w:hAnsi="Arial" w:cstheme="majorBidi"/>
      <w:b/>
      <w:bCs/>
      <w:iCs/>
      <w:u w:val="single"/>
    </w:rPr>
  </w:style>
  <w:style w:type="paragraph" w:styleId="Heading5">
    <w:name w:val="heading 5"/>
    <w:basedOn w:val="Normal"/>
    <w:next w:val="Normal"/>
    <w:link w:val="Heading5Char"/>
    <w:unhideWhenUsed/>
    <w:rsid w:val="00337A17"/>
    <w:pPr>
      <w:keepNext/>
      <w:keepLines/>
      <w:numPr>
        <w:ilvl w:val="4"/>
        <w:numId w:val="3"/>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nhideWhenUsed/>
    <w:rsid w:val="00337A17"/>
    <w:pPr>
      <w:keepNext/>
      <w:keepLines/>
      <w:numPr>
        <w:ilvl w:val="5"/>
        <w:numId w:val="3"/>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nhideWhenUsed/>
    <w:rsid w:val="00337A17"/>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337A17"/>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rsid w:val="00337A17"/>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A17"/>
    <w:rPr>
      <w:rFonts w:ascii="Arial Narrow" w:eastAsiaTheme="majorEastAsia" w:hAnsi="Arial Narrow" w:cstheme="majorBidi"/>
      <w:b/>
      <w:bCs/>
      <w:caps/>
      <w:sz w:val="28"/>
      <w:szCs w:val="28"/>
      <w:lang w:eastAsia="en-AU"/>
    </w:rPr>
  </w:style>
  <w:style w:type="character" w:customStyle="1" w:styleId="Heading2Char">
    <w:name w:val="Heading 2 Char"/>
    <w:basedOn w:val="DefaultParagraphFont"/>
    <w:link w:val="Heading2"/>
    <w:uiPriority w:val="9"/>
    <w:rsid w:val="00337A17"/>
    <w:rPr>
      <w:rFonts w:ascii="Arial Narrow" w:eastAsiaTheme="majorEastAsia" w:hAnsi="Arial Narrow" w:cstheme="majorBidi"/>
      <w:b/>
      <w:bCs/>
      <w:color w:val="B40153"/>
      <w:sz w:val="28"/>
      <w:szCs w:val="26"/>
      <w:lang w:eastAsia="en-AU"/>
    </w:rPr>
  </w:style>
  <w:style w:type="character" w:customStyle="1" w:styleId="Heading3Char">
    <w:name w:val="Heading 3 Char"/>
    <w:basedOn w:val="DefaultParagraphFont"/>
    <w:link w:val="Heading3"/>
    <w:uiPriority w:val="9"/>
    <w:rsid w:val="00337A17"/>
    <w:rPr>
      <w:rFonts w:ascii="Arial Narrow" w:eastAsiaTheme="majorEastAsia" w:hAnsi="Arial Narrow" w:cstheme="majorBidi"/>
      <w:b/>
      <w:bCs/>
      <w:color w:val="3C3C3C"/>
      <w:sz w:val="28"/>
      <w:szCs w:val="26"/>
      <w:lang w:eastAsia="en-AU"/>
    </w:rPr>
  </w:style>
  <w:style w:type="character" w:customStyle="1" w:styleId="Heading4Char">
    <w:name w:val="Heading 4 Char"/>
    <w:basedOn w:val="DefaultParagraphFont"/>
    <w:link w:val="Heading4"/>
    <w:rsid w:val="00337A17"/>
    <w:rPr>
      <w:rFonts w:ascii="Arial" w:eastAsiaTheme="majorEastAsia" w:hAnsi="Arial" w:cstheme="majorBidi"/>
      <w:b/>
      <w:bCs/>
      <w:iCs/>
      <w:sz w:val="22"/>
      <w:szCs w:val="22"/>
      <w:u w:val="single"/>
      <w:lang w:eastAsia="en-AU"/>
    </w:rPr>
  </w:style>
  <w:style w:type="character" w:customStyle="1" w:styleId="Heading5Char">
    <w:name w:val="Heading 5 Char"/>
    <w:basedOn w:val="DefaultParagraphFont"/>
    <w:link w:val="Heading5"/>
    <w:rsid w:val="00337A17"/>
    <w:rPr>
      <w:rFonts w:asciiTheme="majorHAnsi" w:eastAsiaTheme="majorEastAsia" w:hAnsiTheme="majorHAnsi" w:cstheme="majorBidi"/>
      <w:color w:val="1F3763" w:themeColor="accent1" w:themeShade="7F"/>
      <w:sz w:val="22"/>
      <w:szCs w:val="22"/>
      <w:lang w:eastAsia="en-AU"/>
    </w:rPr>
  </w:style>
  <w:style w:type="character" w:customStyle="1" w:styleId="Heading6Char">
    <w:name w:val="Heading 6 Char"/>
    <w:basedOn w:val="DefaultParagraphFont"/>
    <w:link w:val="Heading6"/>
    <w:rsid w:val="00337A17"/>
    <w:rPr>
      <w:rFonts w:asciiTheme="majorHAnsi" w:eastAsiaTheme="majorEastAsia" w:hAnsiTheme="majorHAnsi" w:cstheme="majorBidi"/>
      <w:i/>
      <w:iCs/>
      <w:color w:val="1F3763" w:themeColor="accent1" w:themeShade="7F"/>
      <w:sz w:val="22"/>
      <w:szCs w:val="22"/>
      <w:lang w:eastAsia="en-AU"/>
    </w:rPr>
  </w:style>
  <w:style w:type="character" w:customStyle="1" w:styleId="Heading7Char">
    <w:name w:val="Heading 7 Char"/>
    <w:basedOn w:val="DefaultParagraphFont"/>
    <w:link w:val="Heading7"/>
    <w:rsid w:val="00337A17"/>
    <w:rPr>
      <w:rFonts w:asciiTheme="majorHAnsi" w:eastAsiaTheme="majorEastAsia" w:hAnsiTheme="majorHAnsi" w:cstheme="majorBidi"/>
      <w:i/>
      <w:iCs/>
      <w:color w:val="404040" w:themeColor="text1" w:themeTint="BF"/>
      <w:sz w:val="22"/>
      <w:szCs w:val="22"/>
      <w:lang w:eastAsia="en-AU"/>
    </w:rPr>
  </w:style>
  <w:style w:type="character" w:customStyle="1" w:styleId="Heading8Char">
    <w:name w:val="Heading 8 Char"/>
    <w:basedOn w:val="DefaultParagraphFont"/>
    <w:link w:val="Heading8"/>
    <w:rsid w:val="00337A17"/>
    <w:rPr>
      <w:rFonts w:asciiTheme="majorHAnsi" w:eastAsiaTheme="majorEastAsia" w:hAnsiTheme="majorHAnsi" w:cstheme="majorBidi"/>
      <w:color w:val="404040" w:themeColor="text1" w:themeTint="BF"/>
      <w:sz w:val="20"/>
      <w:szCs w:val="20"/>
      <w:lang w:eastAsia="en-AU"/>
    </w:rPr>
  </w:style>
  <w:style w:type="character" w:customStyle="1" w:styleId="Heading9Char">
    <w:name w:val="Heading 9 Char"/>
    <w:basedOn w:val="DefaultParagraphFont"/>
    <w:link w:val="Heading9"/>
    <w:rsid w:val="00337A17"/>
    <w:rPr>
      <w:rFonts w:asciiTheme="majorHAnsi" w:eastAsiaTheme="majorEastAsia" w:hAnsiTheme="majorHAnsi" w:cstheme="majorBidi"/>
      <w:i/>
      <w:iCs/>
      <w:color w:val="404040" w:themeColor="text1" w:themeTint="BF"/>
      <w:sz w:val="20"/>
      <w:szCs w:val="20"/>
      <w:lang w:eastAsia="en-AU"/>
    </w:rPr>
  </w:style>
  <w:style w:type="character" w:customStyle="1" w:styleId="TextChar">
    <w:name w:val="Text Char"/>
    <w:basedOn w:val="DefaultParagraphFont"/>
    <w:link w:val="Text"/>
    <w:locked/>
    <w:rsid w:val="00337A17"/>
    <w:rPr>
      <w:rFonts w:ascii="Arial" w:hAnsi="Arial" w:cs="Arial"/>
    </w:rPr>
  </w:style>
  <w:style w:type="paragraph" w:customStyle="1" w:styleId="Text">
    <w:name w:val="Text"/>
    <w:basedOn w:val="ListParagraph"/>
    <w:link w:val="TextChar"/>
    <w:qFormat/>
    <w:rsid w:val="00337A17"/>
    <w:pPr>
      <w:spacing w:after="180" w:line="280" w:lineRule="exact"/>
      <w:ind w:left="0"/>
      <w:contextualSpacing w:val="0"/>
    </w:pPr>
    <w:rPr>
      <w:rFonts w:ascii="Arial" w:eastAsiaTheme="minorEastAsia" w:hAnsi="Arial" w:cs="Arial"/>
      <w:sz w:val="24"/>
      <w:szCs w:val="24"/>
      <w:lang w:eastAsia="zh-CN"/>
    </w:rPr>
  </w:style>
  <w:style w:type="paragraph" w:customStyle="1" w:styleId="Bullet1">
    <w:name w:val="Bullet #1"/>
    <w:basedOn w:val="Text"/>
    <w:link w:val="Bullet1Char"/>
    <w:qFormat/>
    <w:rsid w:val="00337A17"/>
    <w:pPr>
      <w:numPr>
        <w:numId w:val="1"/>
      </w:numPr>
      <w:spacing w:after="60" w:line="240" w:lineRule="auto"/>
    </w:pPr>
  </w:style>
  <w:style w:type="character" w:customStyle="1" w:styleId="Bullet1Char">
    <w:name w:val="Bullet #1 Char"/>
    <w:basedOn w:val="TextChar"/>
    <w:link w:val="Bullet1"/>
    <w:rsid w:val="00337A17"/>
    <w:rPr>
      <w:rFonts w:ascii="Arial" w:hAnsi="Arial" w:cs="Arial"/>
    </w:rPr>
  </w:style>
  <w:style w:type="paragraph" w:customStyle="1" w:styleId="Bullet2">
    <w:name w:val="Bullet #2"/>
    <w:basedOn w:val="Bullet1"/>
    <w:link w:val="Bullet2Char"/>
    <w:qFormat/>
    <w:rsid w:val="00337A17"/>
    <w:pPr>
      <w:numPr>
        <w:ilvl w:val="1"/>
        <w:numId w:val="2"/>
      </w:numPr>
      <w:ind w:left="714" w:hanging="357"/>
    </w:pPr>
  </w:style>
  <w:style w:type="character" w:customStyle="1" w:styleId="Bullet2Char">
    <w:name w:val="Bullet #2 Char"/>
    <w:basedOn w:val="Bullet1Char"/>
    <w:link w:val="Bullet2"/>
    <w:rsid w:val="00337A17"/>
    <w:rPr>
      <w:rFonts w:ascii="Arial" w:hAnsi="Arial" w:cs="Arial"/>
    </w:rPr>
  </w:style>
  <w:style w:type="paragraph" w:customStyle="1" w:styleId="Bullet3">
    <w:name w:val="Bullet #3"/>
    <w:basedOn w:val="Bullet2"/>
    <w:rsid w:val="00337A17"/>
    <w:pPr>
      <w:numPr>
        <w:ilvl w:val="4"/>
      </w:numPr>
      <w:tabs>
        <w:tab w:val="num" w:pos="360"/>
      </w:tabs>
      <w:ind w:left="1071" w:hanging="357"/>
    </w:pPr>
  </w:style>
  <w:style w:type="paragraph" w:customStyle="1" w:styleId="Boldtext">
    <w:name w:val="Bold text"/>
    <w:basedOn w:val="Text"/>
    <w:link w:val="BoldtextChar"/>
    <w:qFormat/>
    <w:rsid w:val="00337A17"/>
    <w:rPr>
      <w:b/>
      <w:lang w:eastAsia="en-US"/>
    </w:rPr>
  </w:style>
  <w:style w:type="character" w:customStyle="1" w:styleId="BoldtextChar">
    <w:name w:val="Bold text Char"/>
    <w:basedOn w:val="TextChar"/>
    <w:link w:val="Boldtext"/>
    <w:rsid w:val="00337A17"/>
    <w:rPr>
      <w:rFonts w:ascii="Arial" w:hAnsi="Arial" w:cs="Arial"/>
      <w:b/>
      <w:lang w:eastAsia="en-US"/>
    </w:rPr>
  </w:style>
  <w:style w:type="paragraph" w:customStyle="1" w:styleId="Practicedetails">
    <w:name w:val="Practice details"/>
    <w:basedOn w:val="Text"/>
    <w:link w:val="PracticedetailsChar"/>
    <w:qFormat/>
    <w:rsid w:val="00337A17"/>
    <w:rPr>
      <w:b/>
      <w:i/>
      <w:snapToGrid w:val="0"/>
      <w:color w:val="B40153"/>
      <w:u w:val="single"/>
      <w:lang w:eastAsia="en-US"/>
    </w:rPr>
  </w:style>
  <w:style w:type="character" w:customStyle="1" w:styleId="PracticedetailsChar">
    <w:name w:val="Practice details Char"/>
    <w:basedOn w:val="DefaultParagraphFont"/>
    <w:link w:val="Practicedetails"/>
    <w:rsid w:val="00337A17"/>
    <w:rPr>
      <w:rFonts w:ascii="Arial" w:hAnsi="Arial" w:cs="Arial"/>
      <w:b/>
      <w:i/>
      <w:snapToGrid w:val="0"/>
      <w:color w:val="B40153"/>
      <w:u w:val="single"/>
      <w:lang w:eastAsia="en-US"/>
    </w:rPr>
  </w:style>
  <w:style w:type="paragraph" w:customStyle="1" w:styleId="Locationofrelatedpolicyorprocedure">
    <w:name w:val="Location of related policy or procedure"/>
    <w:basedOn w:val="BodyText"/>
    <w:link w:val="LocationofrelatedpolicyorprocedureChar"/>
    <w:qFormat/>
    <w:rsid w:val="00337A17"/>
    <w:pPr>
      <w:numPr>
        <w:numId w:val="4"/>
      </w:numPr>
      <w:spacing w:before="60" w:after="60" w:line="240" w:lineRule="auto"/>
      <w:jc w:val="both"/>
    </w:pPr>
    <w:rPr>
      <w:rFonts w:ascii="Arial" w:eastAsia="Times New Roman" w:hAnsi="Arial" w:cs="Arial"/>
      <w:b/>
      <w:i/>
      <w:color w:val="67A4BC"/>
      <w:szCs w:val="20"/>
    </w:rPr>
  </w:style>
  <w:style w:type="character" w:customStyle="1" w:styleId="LocationofrelatedpolicyorprocedureChar">
    <w:name w:val="Location of related policy or procedure Char"/>
    <w:basedOn w:val="BodyTextChar"/>
    <w:link w:val="Locationofrelatedpolicyorprocedure"/>
    <w:rsid w:val="00337A17"/>
    <w:rPr>
      <w:rFonts w:ascii="Arial" w:eastAsia="Times New Roman" w:hAnsi="Arial" w:cs="Arial"/>
      <w:b/>
      <w:i/>
      <w:color w:val="67A4BC"/>
      <w:sz w:val="22"/>
      <w:szCs w:val="20"/>
      <w:lang w:eastAsia="en-AU"/>
    </w:rPr>
  </w:style>
  <w:style w:type="paragraph" w:styleId="ListParagraph">
    <w:name w:val="List Paragraph"/>
    <w:basedOn w:val="Normal"/>
    <w:uiPriority w:val="34"/>
    <w:qFormat/>
    <w:rsid w:val="00337A17"/>
    <w:pPr>
      <w:ind w:left="720"/>
      <w:contextualSpacing/>
    </w:pPr>
  </w:style>
  <w:style w:type="paragraph" w:styleId="BodyText">
    <w:name w:val="Body Text"/>
    <w:basedOn w:val="Normal"/>
    <w:link w:val="BodyTextChar"/>
    <w:uiPriority w:val="99"/>
    <w:semiHidden/>
    <w:unhideWhenUsed/>
    <w:rsid w:val="00337A17"/>
    <w:pPr>
      <w:spacing w:after="120"/>
    </w:pPr>
  </w:style>
  <w:style w:type="character" w:customStyle="1" w:styleId="BodyTextChar">
    <w:name w:val="Body Text Char"/>
    <w:basedOn w:val="DefaultParagraphFont"/>
    <w:link w:val="BodyText"/>
    <w:uiPriority w:val="99"/>
    <w:semiHidden/>
    <w:rsid w:val="00337A17"/>
    <w:rPr>
      <w:rFonts w:eastAsiaTheme="minorHAnsi"/>
      <w:sz w:val="22"/>
      <w:szCs w:val="22"/>
      <w:lang w:eastAsia="en-AU"/>
    </w:rPr>
  </w:style>
  <w:style w:type="paragraph" w:styleId="Header">
    <w:name w:val="header"/>
    <w:basedOn w:val="Normal"/>
    <w:link w:val="HeaderChar"/>
    <w:uiPriority w:val="99"/>
    <w:unhideWhenUsed/>
    <w:rsid w:val="00337A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A17"/>
    <w:rPr>
      <w:rFonts w:eastAsiaTheme="minorHAnsi"/>
      <w:sz w:val="22"/>
      <w:szCs w:val="22"/>
      <w:lang w:eastAsia="en-AU"/>
    </w:rPr>
  </w:style>
  <w:style w:type="paragraph" w:styleId="Footer">
    <w:name w:val="footer"/>
    <w:basedOn w:val="Normal"/>
    <w:link w:val="FooterChar"/>
    <w:uiPriority w:val="99"/>
    <w:unhideWhenUsed/>
    <w:rsid w:val="00337A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A17"/>
    <w:rPr>
      <w:rFonts w:eastAsiaTheme="minorHAnsi"/>
      <w:sz w:val="22"/>
      <w:szCs w:val="22"/>
      <w:lang w:eastAsia="en-AU"/>
    </w:rPr>
  </w:style>
  <w:style w:type="paragraph" w:styleId="NormalWeb">
    <w:name w:val="Normal (Web)"/>
    <w:basedOn w:val="Normal"/>
    <w:uiPriority w:val="99"/>
    <w:semiHidden/>
    <w:unhideWhenUsed/>
    <w:rsid w:val="00220881"/>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sid w:val="00220881"/>
    <w:rPr>
      <w:b/>
      <w:bCs/>
    </w:rPr>
  </w:style>
  <w:style w:type="character" w:customStyle="1" w:styleId="apple-converted-space">
    <w:name w:val="apple-converted-space"/>
    <w:basedOn w:val="DefaultParagraphFont"/>
    <w:rsid w:val="00220881"/>
  </w:style>
  <w:style w:type="paragraph" w:customStyle="1" w:styleId="QIPConsultingHeading1">
    <w:name w:val="QIP Consulting # Heading 1"/>
    <w:basedOn w:val="Normal"/>
    <w:qFormat/>
    <w:rsid w:val="006F347D"/>
    <w:pPr>
      <w:numPr>
        <w:numId w:val="8"/>
      </w:numPr>
      <w:spacing w:before="360" w:after="0" w:line="288" w:lineRule="auto"/>
      <w:ind w:left="680" w:hanging="680"/>
      <w:contextualSpacing/>
      <w:outlineLvl w:val="1"/>
    </w:pPr>
    <w:rPr>
      <w:rFonts w:ascii="Calibri" w:eastAsia="SimSun" w:hAnsi="Calibri" w:cs="Times New Roman"/>
      <w:b/>
      <w:bCs/>
      <w:sz w:val="28"/>
      <w:szCs w:val="28"/>
      <w:lang w:eastAsia="en-US"/>
    </w:rPr>
  </w:style>
  <w:style w:type="paragraph" w:customStyle="1" w:styleId="QIPConsultingHeading2">
    <w:name w:val="QIP Consulting # Heading 2"/>
    <w:basedOn w:val="QIPConsultingHeading1"/>
    <w:link w:val="QIPConsultingHeading2Char"/>
    <w:qFormat/>
    <w:rsid w:val="006F347D"/>
    <w:pPr>
      <w:numPr>
        <w:ilvl w:val="1"/>
      </w:numPr>
      <w:ind w:left="680" w:hanging="680"/>
    </w:pPr>
  </w:style>
  <w:style w:type="character" w:customStyle="1" w:styleId="QIPConsultingHeading2Char">
    <w:name w:val="QIP Consulting # Heading 2 Char"/>
    <w:link w:val="QIPConsultingHeading2"/>
    <w:rsid w:val="006F347D"/>
    <w:rPr>
      <w:rFonts w:ascii="Calibri" w:eastAsia="SimSun" w:hAnsi="Calibri" w:cs="Times New Roman"/>
      <w:b/>
      <w:bCs/>
      <w:sz w:val="28"/>
      <w:szCs w:val="28"/>
      <w:lang w:eastAsia="en-US"/>
    </w:rPr>
  </w:style>
  <w:style w:type="paragraph" w:customStyle="1" w:styleId="QIPConsultingHeadingLevel3">
    <w:name w:val="QIP Consulting # Heading Level 3"/>
    <w:basedOn w:val="QIPConsultingHeading2"/>
    <w:link w:val="QIPConsultingHeadingLevel3Char"/>
    <w:qFormat/>
    <w:rsid w:val="006F347D"/>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6F347D"/>
    <w:rPr>
      <w:rFonts w:ascii="Calibri" w:eastAsia="SimSun" w:hAnsi="Calibri" w:cs="Times New Roman"/>
      <w:b/>
      <w:bCs/>
      <w:sz w:val="22"/>
      <w:szCs w:val="22"/>
      <w:lang w:eastAsia="en-US"/>
    </w:rPr>
  </w:style>
  <w:style w:type="paragraph" w:customStyle="1" w:styleId="QIPConsultingHeaderLevel4">
    <w:name w:val="QIP Consulting Header Level 4"/>
    <w:basedOn w:val="QIPConsultingHeadingLevel3"/>
    <w:qFormat/>
    <w:rsid w:val="006F347D"/>
    <w:pPr>
      <w:numPr>
        <w:ilvl w:val="3"/>
      </w:numPr>
      <w:ind w:left="851" w:hanging="851"/>
    </w:pPr>
  </w:style>
  <w:style w:type="paragraph" w:customStyle="1" w:styleId="QIPbullet">
    <w:name w:val="QIP bullet"/>
    <w:basedOn w:val="ListParagraph"/>
    <w:next w:val="Normal"/>
    <w:link w:val="QIPbulletChar"/>
    <w:qFormat/>
    <w:rsid w:val="006F347D"/>
    <w:pPr>
      <w:numPr>
        <w:numId w:val="9"/>
      </w:numPr>
      <w:spacing w:after="0" w:line="288" w:lineRule="auto"/>
      <w:contextualSpacing w:val="0"/>
    </w:pPr>
    <w:rPr>
      <w:rFonts w:ascii="Calibri" w:eastAsia="SimSun" w:hAnsi="Calibri" w:cs="Times New Roman"/>
      <w:color w:val="000000"/>
      <w:szCs w:val="24"/>
    </w:rPr>
  </w:style>
  <w:style w:type="character" w:customStyle="1" w:styleId="QIPbulletChar">
    <w:name w:val="QIP bullet Char"/>
    <w:link w:val="QIPbullet"/>
    <w:rsid w:val="006F347D"/>
    <w:rPr>
      <w:rFonts w:ascii="Calibri" w:eastAsia="SimSun" w:hAnsi="Calibri" w:cs="Times New Roman"/>
      <w:color w:val="000000"/>
      <w:sz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241866">
      <w:bodyDiv w:val="1"/>
      <w:marLeft w:val="0"/>
      <w:marRight w:val="0"/>
      <w:marTop w:val="0"/>
      <w:marBottom w:val="0"/>
      <w:divBdr>
        <w:top w:val="none" w:sz="0" w:space="0" w:color="auto"/>
        <w:left w:val="none" w:sz="0" w:space="0" w:color="auto"/>
        <w:bottom w:val="none" w:sz="0" w:space="0" w:color="auto"/>
        <w:right w:val="none" w:sz="0" w:space="0" w:color="auto"/>
      </w:divBdr>
    </w:div>
    <w:div w:id="437918676">
      <w:bodyDiv w:val="1"/>
      <w:marLeft w:val="0"/>
      <w:marRight w:val="0"/>
      <w:marTop w:val="0"/>
      <w:marBottom w:val="0"/>
      <w:divBdr>
        <w:top w:val="none" w:sz="0" w:space="0" w:color="auto"/>
        <w:left w:val="none" w:sz="0" w:space="0" w:color="auto"/>
        <w:bottom w:val="none" w:sz="0" w:space="0" w:color="auto"/>
        <w:right w:val="none" w:sz="0" w:space="0" w:color="auto"/>
      </w:divBdr>
    </w:div>
    <w:div w:id="1194348498">
      <w:bodyDiv w:val="1"/>
      <w:marLeft w:val="0"/>
      <w:marRight w:val="0"/>
      <w:marTop w:val="0"/>
      <w:marBottom w:val="0"/>
      <w:divBdr>
        <w:top w:val="none" w:sz="0" w:space="0" w:color="auto"/>
        <w:left w:val="none" w:sz="0" w:space="0" w:color="auto"/>
        <w:bottom w:val="none" w:sz="0" w:space="0" w:color="auto"/>
        <w:right w:val="none" w:sz="0" w:space="0" w:color="auto"/>
      </w:divBdr>
    </w:div>
    <w:div w:id="1316571002">
      <w:bodyDiv w:val="1"/>
      <w:marLeft w:val="0"/>
      <w:marRight w:val="0"/>
      <w:marTop w:val="0"/>
      <w:marBottom w:val="0"/>
      <w:divBdr>
        <w:top w:val="none" w:sz="0" w:space="0" w:color="auto"/>
        <w:left w:val="none" w:sz="0" w:space="0" w:color="auto"/>
        <w:bottom w:val="none" w:sz="0" w:space="0" w:color="auto"/>
        <w:right w:val="none" w:sz="0" w:space="0" w:color="auto"/>
      </w:divBdr>
    </w:div>
    <w:div w:id="209250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Coco Gao</cp:lastModifiedBy>
  <cp:revision>2</cp:revision>
  <dcterms:created xsi:type="dcterms:W3CDTF">2025-09-29T05:28:00Z</dcterms:created>
  <dcterms:modified xsi:type="dcterms:W3CDTF">2025-09-29T05:28:00Z</dcterms:modified>
</cp:coreProperties>
</file>