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87FF6" w14:textId="77777777" w:rsidR="00775C8F" w:rsidRPr="00D21BE9" w:rsidRDefault="00775C8F" w:rsidP="00775C8F">
      <w:pPr>
        <w:pStyle w:val="QIPConsultingHeading2"/>
        <w:jc w:val="both"/>
        <w:rPr>
          <w:color w:val="000000" w:themeColor="text1"/>
        </w:rPr>
      </w:pPr>
      <w:bookmarkStart w:id="0" w:name="_Toc482698402"/>
      <w:bookmarkStart w:id="1" w:name="_Toc111698627"/>
      <w:r w:rsidRPr="00D21BE9">
        <w:rPr>
          <w:color w:val="000000" w:themeColor="text1"/>
        </w:rPr>
        <w:t>Home and other visits</w:t>
      </w:r>
      <w:bookmarkEnd w:id="0"/>
      <w:bookmarkEnd w:id="1"/>
    </w:p>
    <w:p w14:paraId="78C1CAC5" w14:textId="77777777" w:rsidR="00775C8F" w:rsidRPr="00D21BE9" w:rsidRDefault="00775C8F" w:rsidP="00775C8F">
      <w:pPr>
        <w:pStyle w:val="QIPConsultingHeadingLevel3"/>
        <w:jc w:val="both"/>
        <w:rPr>
          <w:color w:val="000000" w:themeColor="text1"/>
        </w:rPr>
      </w:pPr>
      <w:bookmarkStart w:id="2" w:name="_Toc111698628"/>
      <w:r w:rsidRPr="00D21BE9">
        <w:rPr>
          <w:color w:val="000000" w:themeColor="text1"/>
        </w:rPr>
        <w:t>Policy</w:t>
      </w:r>
      <w:bookmarkEnd w:id="2"/>
    </w:p>
    <w:p w14:paraId="3D8CCF91" w14:textId="77777777" w:rsidR="00775C8F" w:rsidRPr="00D21BE9" w:rsidRDefault="00775C8F" w:rsidP="00775C8F">
      <w:pPr>
        <w:jc w:val="both"/>
        <w:rPr>
          <w:color w:val="000000" w:themeColor="text1"/>
        </w:rPr>
      </w:pPr>
    </w:p>
    <w:p w14:paraId="5E03CC02" w14:textId="77777777" w:rsidR="00775C8F" w:rsidRPr="00D21BE9" w:rsidRDefault="00775C8F" w:rsidP="00775C8F">
      <w:pPr>
        <w:jc w:val="both"/>
        <w:rPr>
          <w:color w:val="000000" w:themeColor="text1"/>
        </w:rPr>
      </w:pPr>
      <w:r w:rsidRPr="00D21BE9">
        <w:rPr>
          <w:color w:val="000000" w:themeColor="text1"/>
        </w:rPr>
        <w:t>Where safe and reasonable, our practice makes visits to regular practice patients in their homes, aged or residential care facilities, or in hospitals within and outside of normal working hours. Our practice has decided upon a reasonable distance within which visits can be conducted.</w:t>
      </w:r>
    </w:p>
    <w:p w14:paraId="52B65CDD" w14:textId="77777777" w:rsidR="00775C8F" w:rsidRPr="003F1162" w:rsidRDefault="00775C8F" w:rsidP="00775C8F">
      <w:pPr>
        <w:jc w:val="both"/>
        <w:rPr>
          <w:color w:val="000000" w:themeColor="text1"/>
          <w:lang w:val="en-US"/>
        </w:rPr>
      </w:pPr>
    </w:p>
    <w:p w14:paraId="391578F4" w14:textId="77777777" w:rsidR="00775C8F" w:rsidRPr="00484789" w:rsidRDefault="00775C8F" w:rsidP="00775C8F">
      <w:pPr>
        <w:jc w:val="both"/>
        <w:rPr>
          <w:color w:val="000000" w:themeColor="text1"/>
          <w:lang w:val="en-US"/>
        </w:rPr>
      </w:pPr>
      <w:r w:rsidRPr="00D21BE9">
        <w:rPr>
          <w:color w:val="000000" w:themeColor="text1"/>
        </w:rPr>
        <w:t xml:space="preserve">All patients are made aware that home and other visits are a suitable care alternative that is available both within and outside normal opening hours and that the provision of a home or other visit is determined by the patient meeting pre-determined eligibility criteria. </w:t>
      </w:r>
      <w:r w:rsidRPr="00484789">
        <w:rPr>
          <w:color w:val="000000" w:themeColor="text1"/>
        </w:rPr>
        <w:t>Since the COVID-19 pandemic, our practice has also implemented Telehealth and Phone consultations as a care alternative for eligible patients</w:t>
      </w:r>
      <w:r>
        <w:rPr>
          <w:color w:val="000000" w:themeColor="text1"/>
        </w:rPr>
        <w:t xml:space="preserve"> </w:t>
      </w:r>
      <w:r w:rsidRPr="00D21BE9">
        <w:rPr>
          <w:color w:val="000000" w:themeColor="text1"/>
        </w:rPr>
        <w:t xml:space="preserve">(refer to </w:t>
      </w:r>
      <w:r w:rsidRPr="00D21BE9">
        <w:rPr>
          <w:b/>
          <w:color w:val="000000" w:themeColor="text1"/>
        </w:rPr>
        <w:t>Section 5.</w:t>
      </w:r>
      <w:r>
        <w:rPr>
          <w:b/>
          <w:color w:val="000000" w:themeColor="text1"/>
        </w:rPr>
        <w:t>22</w:t>
      </w:r>
      <w:r w:rsidRPr="00D21BE9">
        <w:rPr>
          <w:b/>
          <w:color w:val="000000" w:themeColor="text1"/>
        </w:rPr>
        <w:t xml:space="preserve"> – </w:t>
      </w:r>
      <w:r>
        <w:rPr>
          <w:b/>
          <w:color w:val="000000" w:themeColor="text1"/>
        </w:rPr>
        <w:t>Telehealth C</w:t>
      </w:r>
      <w:r>
        <w:rPr>
          <w:rFonts w:hint="eastAsia"/>
          <w:b/>
          <w:color w:val="000000" w:themeColor="text1"/>
          <w:lang w:eastAsia="zh-CN"/>
        </w:rPr>
        <w:t>onsultations</w:t>
      </w:r>
      <w:r w:rsidRPr="00D21BE9">
        <w:rPr>
          <w:color w:val="000000" w:themeColor="text1"/>
        </w:rPr>
        <w:t>)</w:t>
      </w:r>
      <w:r w:rsidRPr="00484789">
        <w:rPr>
          <w:color w:val="000000" w:themeColor="text1"/>
        </w:rPr>
        <w:t>. Patients who have had a face-to-face visit at the clinic within the past 12 months may be offered Telehealth (via phone or video) consultations in accordance with Medicare requirements and clinical appropriateness.</w:t>
      </w:r>
    </w:p>
    <w:p w14:paraId="07CE0D59" w14:textId="77777777" w:rsidR="00775C8F" w:rsidRPr="00D21BE9" w:rsidRDefault="00775C8F" w:rsidP="00775C8F">
      <w:pPr>
        <w:jc w:val="both"/>
        <w:rPr>
          <w:color w:val="000000" w:themeColor="text1"/>
        </w:rPr>
      </w:pPr>
    </w:p>
    <w:p w14:paraId="06E2C79B" w14:textId="77777777" w:rsidR="00775C8F" w:rsidRPr="00D21BE9" w:rsidRDefault="00775C8F" w:rsidP="00775C8F">
      <w:pPr>
        <w:jc w:val="both"/>
        <w:rPr>
          <w:color w:val="000000" w:themeColor="text1"/>
        </w:rPr>
      </w:pPr>
      <w:r w:rsidRPr="00D21BE9">
        <w:rPr>
          <w:color w:val="000000" w:themeColor="text1"/>
        </w:rPr>
        <w:t xml:space="preserve">For regular patients whose circumstances are deemed not safe and/or reasonable, the practice ensures that there is an alternate system of care that these patients can access. </w:t>
      </w:r>
    </w:p>
    <w:p w14:paraId="45104898" w14:textId="77777777" w:rsidR="00775C8F" w:rsidRPr="00D21BE9" w:rsidRDefault="00775C8F" w:rsidP="00775C8F">
      <w:pPr>
        <w:jc w:val="both"/>
        <w:rPr>
          <w:color w:val="000000" w:themeColor="text1"/>
        </w:rPr>
      </w:pPr>
    </w:p>
    <w:p w14:paraId="1CBDCD68" w14:textId="77777777" w:rsidR="00775C8F" w:rsidRPr="00D21BE9" w:rsidRDefault="00775C8F" w:rsidP="00775C8F">
      <w:pPr>
        <w:jc w:val="both"/>
        <w:rPr>
          <w:color w:val="000000" w:themeColor="text1"/>
        </w:rPr>
      </w:pPr>
      <w:r w:rsidRPr="00D21BE9">
        <w:rPr>
          <w:color w:val="000000" w:themeColor="text1"/>
        </w:rPr>
        <w:t xml:space="preserve">There are documented arrangements in place to exchange clinical details about patients to general practitioners who perform home and other visits on behalf of the patient’s regular practitioner, and to ensure that all off-site care provided is documented in the patient’s health record held in the practice. </w:t>
      </w:r>
    </w:p>
    <w:p w14:paraId="387DCE9F" w14:textId="77777777" w:rsidR="00775C8F" w:rsidRPr="00D21BE9" w:rsidRDefault="00775C8F" w:rsidP="00775C8F">
      <w:pPr>
        <w:jc w:val="both"/>
        <w:rPr>
          <w:color w:val="000000" w:themeColor="text1"/>
        </w:rPr>
      </w:pPr>
    </w:p>
    <w:p w14:paraId="4D6C7A4F" w14:textId="77777777" w:rsidR="00775C8F" w:rsidRPr="00D21BE9" w:rsidRDefault="00775C8F" w:rsidP="00775C8F">
      <w:pPr>
        <w:jc w:val="both"/>
        <w:rPr>
          <w:color w:val="000000" w:themeColor="text1"/>
        </w:rPr>
      </w:pPr>
      <w:r w:rsidRPr="00D21BE9">
        <w:rPr>
          <w:color w:val="000000" w:themeColor="text1"/>
        </w:rPr>
        <w:t>Home and other visits are provided by appropriately qualified health professionals who have received information and advice about safety and security when conducting off-site visits.</w:t>
      </w:r>
    </w:p>
    <w:p w14:paraId="559D0CA7" w14:textId="77777777" w:rsidR="00775C8F" w:rsidRPr="00D21BE9" w:rsidRDefault="00775C8F" w:rsidP="00775C8F">
      <w:pPr>
        <w:jc w:val="both"/>
        <w:rPr>
          <w:color w:val="000000" w:themeColor="text1"/>
        </w:rPr>
      </w:pPr>
    </w:p>
    <w:p w14:paraId="04FB4859" w14:textId="77777777" w:rsidR="00775C8F" w:rsidRDefault="00775C8F" w:rsidP="00775C8F">
      <w:pPr>
        <w:jc w:val="both"/>
        <w:rPr>
          <w:color w:val="000000" w:themeColor="text1"/>
        </w:rPr>
      </w:pPr>
      <w:r w:rsidRPr="00D21BE9">
        <w:rPr>
          <w:color w:val="000000" w:themeColor="text1"/>
        </w:rPr>
        <w:t>Any anticipated costs associated with home visits or alternative care systems are discussed with the patient in advance.</w:t>
      </w:r>
    </w:p>
    <w:p w14:paraId="37134477" w14:textId="77777777" w:rsidR="00775C8F" w:rsidRDefault="00775C8F" w:rsidP="00775C8F">
      <w:pPr>
        <w:jc w:val="both"/>
        <w:rPr>
          <w:color w:val="000000" w:themeColor="text1"/>
        </w:rPr>
      </w:pPr>
    </w:p>
    <w:p w14:paraId="793663AA" w14:textId="77777777" w:rsidR="00775C8F" w:rsidRPr="00C24B68" w:rsidRDefault="00775C8F" w:rsidP="00775C8F">
      <w:pPr>
        <w:jc w:val="both"/>
        <w:rPr>
          <w:color w:val="000000" w:themeColor="text1"/>
          <w:lang w:val="en-US"/>
        </w:rPr>
      </w:pPr>
      <w:r w:rsidRPr="00C24B68">
        <w:rPr>
          <w:color w:val="000000" w:themeColor="text1"/>
          <w:lang w:val="en-US"/>
        </w:rPr>
        <w:t xml:space="preserve">Home visits arranged specifically for accessibility-related reasons (patients unable to attend due to disability) will be bulk billed, in line with Accessibility </w:t>
      </w:r>
      <w:r>
        <w:rPr>
          <w:color w:val="000000" w:themeColor="text1"/>
          <w:lang w:val="en-US"/>
        </w:rPr>
        <w:t xml:space="preserve">– Alternative Access </w:t>
      </w:r>
      <w:r w:rsidRPr="00C24B68">
        <w:rPr>
          <w:color w:val="000000" w:themeColor="text1"/>
          <w:lang w:val="en-US"/>
        </w:rPr>
        <w:t>Policy 5.21.</w:t>
      </w:r>
    </w:p>
    <w:p w14:paraId="369A7A2D" w14:textId="77777777" w:rsidR="00775C8F" w:rsidRPr="0047640A" w:rsidRDefault="00775C8F" w:rsidP="00775C8F">
      <w:pPr>
        <w:jc w:val="both"/>
        <w:rPr>
          <w:color w:val="000000" w:themeColor="text1"/>
          <w:lang w:val="en-US"/>
        </w:rPr>
      </w:pPr>
    </w:p>
    <w:p w14:paraId="5F4DEF21" w14:textId="77777777" w:rsidR="00775C8F" w:rsidRPr="00D21BE9" w:rsidRDefault="00775C8F" w:rsidP="00775C8F">
      <w:pPr>
        <w:pStyle w:val="QIPConsultingHeadingLevel3"/>
        <w:jc w:val="both"/>
        <w:rPr>
          <w:color w:val="000000" w:themeColor="text1"/>
        </w:rPr>
      </w:pPr>
      <w:bookmarkStart w:id="3" w:name="_Toc111698629"/>
      <w:r w:rsidRPr="00D21BE9">
        <w:rPr>
          <w:color w:val="000000" w:themeColor="text1"/>
        </w:rPr>
        <w:t>Procedure</w:t>
      </w:r>
      <w:bookmarkEnd w:id="3"/>
    </w:p>
    <w:p w14:paraId="4BDBBC93" w14:textId="77777777" w:rsidR="00775C8F" w:rsidRPr="00D21BE9" w:rsidRDefault="00775C8F" w:rsidP="00775C8F">
      <w:pPr>
        <w:jc w:val="both"/>
        <w:rPr>
          <w:color w:val="000000" w:themeColor="text1"/>
        </w:rPr>
      </w:pPr>
    </w:p>
    <w:p w14:paraId="47DE2958" w14:textId="77777777" w:rsidR="00775C8F" w:rsidRPr="00D21BE9" w:rsidRDefault="00775C8F" w:rsidP="00775C8F">
      <w:pPr>
        <w:jc w:val="both"/>
        <w:rPr>
          <w:color w:val="000000" w:themeColor="text1"/>
        </w:rPr>
      </w:pPr>
      <w:r w:rsidRPr="00D21BE9">
        <w:rPr>
          <w:color w:val="000000" w:themeColor="text1"/>
        </w:rPr>
        <w:t>A patient can arrange for a home or other visit or a general practitioner may request to see a patient in their place of residence if the following criteria are met:</w:t>
      </w:r>
    </w:p>
    <w:p w14:paraId="30E4FBEC" w14:textId="77777777" w:rsidR="00775C8F" w:rsidRPr="00D21BE9" w:rsidRDefault="00775C8F" w:rsidP="00775C8F">
      <w:pPr>
        <w:pStyle w:val="QIPbullet"/>
        <w:jc w:val="both"/>
        <w:rPr>
          <w:color w:val="000000" w:themeColor="text1"/>
        </w:rPr>
      </w:pPr>
      <w:r w:rsidRPr="00D21BE9">
        <w:rPr>
          <w:color w:val="000000" w:themeColor="text1"/>
        </w:rPr>
        <w:t>The patient is a regular patient</w:t>
      </w:r>
      <w:r w:rsidRPr="00B338CD">
        <w:rPr>
          <w:color w:val="000000" w:themeColor="text1"/>
          <w:vertAlign w:val="superscript"/>
        </w:rPr>
        <w:t>#</w:t>
      </w:r>
      <w:r w:rsidRPr="00D21BE9">
        <w:rPr>
          <w:color w:val="000000" w:themeColor="text1"/>
        </w:rPr>
        <w:t xml:space="preserve"> of this practice</w:t>
      </w:r>
    </w:p>
    <w:p w14:paraId="5BA1563D" w14:textId="77777777" w:rsidR="00775C8F" w:rsidRPr="00D21BE9" w:rsidRDefault="00775C8F" w:rsidP="00775C8F">
      <w:pPr>
        <w:pStyle w:val="QIPbullet"/>
        <w:jc w:val="both"/>
        <w:rPr>
          <w:color w:val="000000" w:themeColor="text1"/>
        </w:rPr>
      </w:pPr>
      <w:r w:rsidRPr="00D21BE9">
        <w:rPr>
          <w:color w:val="000000" w:themeColor="text1"/>
        </w:rPr>
        <w:t xml:space="preserve">The patient resides in a location that is within </w:t>
      </w:r>
      <w:r w:rsidRPr="00D21BE9">
        <w:rPr>
          <w:i/>
          <w:color w:val="000000" w:themeColor="text1"/>
        </w:rPr>
        <w:t>Melbourne VIC 3000.</w:t>
      </w:r>
    </w:p>
    <w:p w14:paraId="57764344" w14:textId="77777777" w:rsidR="00775C8F" w:rsidRPr="00D21BE9" w:rsidRDefault="00775C8F" w:rsidP="00775C8F">
      <w:pPr>
        <w:pStyle w:val="QIPbullet"/>
        <w:jc w:val="both"/>
        <w:rPr>
          <w:color w:val="000000" w:themeColor="text1"/>
        </w:rPr>
      </w:pPr>
      <w:r w:rsidRPr="00D21BE9">
        <w:rPr>
          <w:color w:val="000000" w:themeColor="text1"/>
        </w:rPr>
        <w:t>Where it is safe and reasonable</w:t>
      </w:r>
    </w:p>
    <w:p w14:paraId="6EFF7120" w14:textId="77777777" w:rsidR="00775C8F" w:rsidRPr="00D21BE9" w:rsidRDefault="00775C8F" w:rsidP="00775C8F">
      <w:pPr>
        <w:pStyle w:val="QIPbullet"/>
        <w:jc w:val="both"/>
        <w:rPr>
          <w:color w:val="000000" w:themeColor="text1"/>
        </w:rPr>
      </w:pPr>
      <w:r w:rsidRPr="00D21BE9">
        <w:rPr>
          <w:color w:val="000000" w:themeColor="text1"/>
        </w:rPr>
        <w:t xml:space="preserve">The practice has the correct contact details for the patient on file, and </w:t>
      </w:r>
    </w:p>
    <w:p w14:paraId="58A3C844" w14:textId="77777777" w:rsidR="00775C8F" w:rsidRPr="00D21BE9" w:rsidRDefault="00775C8F" w:rsidP="00775C8F">
      <w:pPr>
        <w:pStyle w:val="QIPbullet"/>
        <w:jc w:val="both"/>
        <w:rPr>
          <w:color w:val="000000" w:themeColor="text1"/>
        </w:rPr>
      </w:pPr>
      <w:r w:rsidRPr="00D21BE9">
        <w:rPr>
          <w:color w:val="000000" w:themeColor="text1"/>
        </w:rPr>
        <w:lastRenderedPageBreak/>
        <w:t>The patient has the type of problem that necessitates a home visit such as:</w:t>
      </w:r>
    </w:p>
    <w:p w14:paraId="1E46CB45" w14:textId="77777777" w:rsidR="00775C8F" w:rsidRPr="00D21BE9" w:rsidRDefault="00775C8F" w:rsidP="00775C8F">
      <w:pPr>
        <w:pStyle w:val="QIPConsultingBullet2"/>
        <w:jc w:val="both"/>
        <w:rPr>
          <w:color w:val="000000" w:themeColor="text1"/>
        </w:rPr>
      </w:pPr>
      <w:r w:rsidRPr="00D21BE9">
        <w:rPr>
          <w:color w:val="000000" w:themeColor="text1"/>
        </w:rPr>
        <w:t>Acutely ill</w:t>
      </w:r>
    </w:p>
    <w:p w14:paraId="1CF0E57E" w14:textId="77777777" w:rsidR="00775C8F" w:rsidRPr="00D21BE9" w:rsidRDefault="00775C8F" w:rsidP="00775C8F">
      <w:pPr>
        <w:pStyle w:val="QIPConsultingBullet2"/>
        <w:jc w:val="both"/>
        <w:rPr>
          <w:color w:val="000000" w:themeColor="text1"/>
        </w:rPr>
      </w:pPr>
      <w:r w:rsidRPr="00D21BE9">
        <w:rPr>
          <w:color w:val="000000" w:themeColor="text1"/>
        </w:rPr>
        <w:t>Immobile</w:t>
      </w:r>
    </w:p>
    <w:p w14:paraId="60A0DAED" w14:textId="77777777" w:rsidR="00775C8F" w:rsidRPr="00D21BE9" w:rsidRDefault="00775C8F" w:rsidP="00775C8F">
      <w:pPr>
        <w:pStyle w:val="QIPConsultingBullet2"/>
        <w:jc w:val="both"/>
        <w:rPr>
          <w:color w:val="000000" w:themeColor="text1"/>
        </w:rPr>
      </w:pPr>
      <w:r w:rsidRPr="00D21BE9">
        <w:rPr>
          <w:color w:val="000000" w:themeColor="text1"/>
        </w:rPr>
        <w:t>Elderly</w:t>
      </w:r>
    </w:p>
    <w:p w14:paraId="15FBB33B" w14:textId="77777777" w:rsidR="00775C8F" w:rsidRPr="00D21BE9" w:rsidRDefault="00775C8F" w:rsidP="00775C8F">
      <w:pPr>
        <w:pStyle w:val="QIPConsultingBullet2"/>
        <w:jc w:val="both"/>
        <w:rPr>
          <w:color w:val="000000" w:themeColor="text1"/>
        </w:rPr>
      </w:pPr>
      <w:r w:rsidRPr="00D21BE9">
        <w:rPr>
          <w:color w:val="000000" w:themeColor="text1"/>
        </w:rPr>
        <w:t>No means of transport</w:t>
      </w:r>
    </w:p>
    <w:p w14:paraId="74179EF2" w14:textId="77777777" w:rsidR="00775C8F" w:rsidRPr="00D21BE9" w:rsidRDefault="00775C8F" w:rsidP="00775C8F">
      <w:pPr>
        <w:pStyle w:val="QIPConsultingBullet2"/>
        <w:jc w:val="both"/>
        <w:rPr>
          <w:color w:val="000000" w:themeColor="text1"/>
        </w:rPr>
      </w:pPr>
      <w:r w:rsidRPr="00D21BE9">
        <w:rPr>
          <w:color w:val="000000" w:themeColor="text1"/>
        </w:rPr>
        <w:t>Unable to access the practice facilities due to disability</w:t>
      </w:r>
    </w:p>
    <w:p w14:paraId="493992D0" w14:textId="77777777" w:rsidR="00775C8F" w:rsidRDefault="00775C8F" w:rsidP="00775C8F">
      <w:pPr>
        <w:jc w:val="both"/>
        <w:rPr>
          <w:color w:val="000000" w:themeColor="text1"/>
        </w:rPr>
      </w:pPr>
    </w:p>
    <w:p w14:paraId="40C21ACA" w14:textId="77777777" w:rsidR="00775C8F" w:rsidRPr="00B64FAF" w:rsidRDefault="00775C8F" w:rsidP="00775C8F">
      <w:pPr>
        <w:rPr>
          <w:i/>
          <w:iCs/>
        </w:rPr>
      </w:pPr>
      <w:r>
        <w:rPr>
          <w:i/>
          <w:iCs/>
        </w:rPr>
        <w:t>#</w:t>
      </w:r>
      <w:r w:rsidRPr="00B64FAF">
        <w:rPr>
          <w:i/>
          <w:iCs/>
        </w:rPr>
        <w:t>Regular patient: For the purposes of this policy, a regular patient is defined as a person who has attended the practice for at least one face-to-face consultation within the past 12 months. The practice retains discretion to classify other patients as regular where clinically appropriate, such as in urgent or accessibility-related situations.</w:t>
      </w:r>
    </w:p>
    <w:p w14:paraId="718AA06E" w14:textId="77777777" w:rsidR="00775C8F" w:rsidRPr="00D21BE9" w:rsidRDefault="00775C8F" w:rsidP="00775C8F">
      <w:pPr>
        <w:jc w:val="both"/>
        <w:rPr>
          <w:color w:val="000000" w:themeColor="text1"/>
        </w:rPr>
      </w:pPr>
    </w:p>
    <w:p w14:paraId="6E398F20" w14:textId="77777777" w:rsidR="00775C8F" w:rsidRPr="00D21BE9" w:rsidRDefault="00775C8F" w:rsidP="00775C8F">
      <w:pPr>
        <w:jc w:val="both"/>
        <w:rPr>
          <w:color w:val="000000" w:themeColor="text1"/>
        </w:rPr>
      </w:pPr>
      <w:r w:rsidRPr="00D21BE9">
        <w:rPr>
          <w:color w:val="000000" w:themeColor="text1"/>
        </w:rPr>
        <w:t xml:space="preserve">When receiving a request for a home or other visit from a patient, the practice team refer to our triage protocols to determine if the urgency of the request. </w:t>
      </w:r>
      <w:r w:rsidRPr="00484789">
        <w:rPr>
          <w:color w:val="000000" w:themeColor="text1"/>
        </w:rPr>
        <w:t>Where clinically appropriate, a Telehealth consultation may be offered as a first step to assess the patient’s condition or provide interim care, especially if a face-to-face visit is not immediately feasible.</w:t>
      </w:r>
      <w:r>
        <w:rPr>
          <w:color w:val="000000" w:themeColor="text1"/>
        </w:rPr>
        <w:t xml:space="preserve"> </w:t>
      </w:r>
      <w:r w:rsidRPr="00D21BE9">
        <w:rPr>
          <w:color w:val="000000" w:themeColor="text1"/>
        </w:rPr>
        <w:t xml:space="preserve">Where necessary, advice is sought from the patient’s usual general practitioner when scheduling the visit (refer to </w:t>
      </w:r>
      <w:r w:rsidRPr="00D21BE9">
        <w:rPr>
          <w:b/>
          <w:color w:val="000000" w:themeColor="text1"/>
        </w:rPr>
        <w:t>Section 5.9 – Medical emergencies and urgent queries</w:t>
      </w:r>
      <w:r w:rsidRPr="00D21BE9">
        <w:rPr>
          <w:color w:val="000000" w:themeColor="text1"/>
        </w:rPr>
        <w:t>).</w:t>
      </w:r>
    </w:p>
    <w:p w14:paraId="31349F82" w14:textId="77777777" w:rsidR="00775C8F" w:rsidRPr="00D21BE9" w:rsidRDefault="00775C8F" w:rsidP="00775C8F">
      <w:pPr>
        <w:jc w:val="both"/>
        <w:rPr>
          <w:color w:val="000000" w:themeColor="text1"/>
        </w:rPr>
      </w:pPr>
    </w:p>
    <w:p w14:paraId="4AD812D2" w14:textId="77777777" w:rsidR="00775C8F" w:rsidRPr="00D21BE9" w:rsidRDefault="00775C8F" w:rsidP="00775C8F">
      <w:pPr>
        <w:jc w:val="both"/>
        <w:rPr>
          <w:color w:val="000000" w:themeColor="text1"/>
        </w:rPr>
      </w:pPr>
      <w:r w:rsidRPr="00D21BE9">
        <w:rPr>
          <w:color w:val="000000" w:themeColor="text1"/>
        </w:rPr>
        <w:t>All home and other visits recorded in the appointments schedule are noted as such.</w:t>
      </w:r>
    </w:p>
    <w:p w14:paraId="5E56DEE6" w14:textId="77777777" w:rsidR="00775C8F" w:rsidRPr="00D21BE9" w:rsidRDefault="00775C8F" w:rsidP="00775C8F">
      <w:pPr>
        <w:jc w:val="both"/>
        <w:rPr>
          <w:color w:val="000000" w:themeColor="text1"/>
        </w:rPr>
      </w:pPr>
    </w:p>
    <w:p w14:paraId="45B20AE0" w14:textId="77777777" w:rsidR="00775C8F" w:rsidRPr="00D21BE9" w:rsidRDefault="00775C8F" w:rsidP="00775C8F">
      <w:pPr>
        <w:jc w:val="both"/>
        <w:rPr>
          <w:color w:val="000000" w:themeColor="text1"/>
        </w:rPr>
      </w:pPr>
      <w:r w:rsidRPr="00D21BE9">
        <w:rPr>
          <w:color w:val="000000" w:themeColor="text1"/>
        </w:rPr>
        <w:t>Where patients with regularly scheduled home or other visits request a visit outside of this time, the request is referred to the patient’s general practitioner who will confirm if this additional visit is required.</w:t>
      </w:r>
    </w:p>
    <w:p w14:paraId="5A580DBD" w14:textId="77777777" w:rsidR="00775C8F" w:rsidRPr="00D21BE9" w:rsidRDefault="00775C8F" w:rsidP="00775C8F">
      <w:pPr>
        <w:jc w:val="both"/>
        <w:rPr>
          <w:color w:val="000000" w:themeColor="text1"/>
        </w:rPr>
      </w:pPr>
    </w:p>
    <w:p w14:paraId="7F13E7BE" w14:textId="77777777" w:rsidR="00775C8F" w:rsidRPr="00D21BE9" w:rsidRDefault="00775C8F" w:rsidP="00775C8F">
      <w:pPr>
        <w:jc w:val="both"/>
        <w:rPr>
          <w:color w:val="000000" w:themeColor="text1"/>
        </w:rPr>
      </w:pPr>
      <w:r w:rsidRPr="00D21BE9">
        <w:rPr>
          <w:color w:val="000000" w:themeColor="text1"/>
        </w:rPr>
        <w:t>Where home or other visits are performed by a service on behalf of our practice, documented arrangements exist that include the requirement for timely exchange of clinical information about the patient’s care, how the service can access the patient’s usual general practitioner in exceptional and emergency circumstances, and assurance that care will be provided by appropriately qualified health professionals.</w:t>
      </w:r>
    </w:p>
    <w:p w14:paraId="39AE6D4B" w14:textId="77777777" w:rsidR="00775C8F" w:rsidRPr="00D21BE9" w:rsidRDefault="00775C8F" w:rsidP="00775C8F">
      <w:pPr>
        <w:jc w:val="both"/>
        <w:rPr>
          <w:color w:val="000000" w:themeColor="text1"/>
          <w:lang w:eastAsia="en-AU"/>
        </w:rPr>
      </w:pPr>
    </w:p>
    <w:p w14:paraId="73A3A717" w14:textId="77777777" w:rsidR="00775C8F" w:rsidRPr="00D21BE9" w:rsidRDefault="00775C8F" w:rsidP="00775C8F">
      <w:pPr>
        <w:jc w:val="both"/>
        <w:rPr>
          <w:color w:val="000000" w:themeColor="text1"/>
          <w:lang w:eastAsia="en-AU"/>
        </w:rPr>
      </w:pPr>
      <w:r w:rsidRPr="00D21BE9">
        <w:rPr>
          <w:color w:val="000000" w:themeColor="text1"/>
        </w:rPr>
        <w:t xml:space="preserve">Notes of all consultations conducted through a home or other visit, both within and outside normal opening hours, are documented in the patient’s health records. If information about the patient is held in two separate records systems (e.g. electronic and paper-based) </w:t>
      </w:r>
      <w:r w:rsidRPr="00D21BE9">
        <w:rPr>
          <w:color w:val="000000" w:themeColor="text1"/>
          <w:lang w:eastAsia="en-AU"/>
        </w:rPr>
        <w:t xml:space="preserve">there must be a record made of every consultation in each system indicating where the full clinical notes of the consultation is recorded so that all general practitioners, including locums, who consult that patient know to look at both systems in order to access all relevant information. </w:t>
      </w:r>
    </w:p>
    <w:p w14:paraId="684E1D2E" w14:textId="77777777" w:rsidR="00775C8F" w:rsidRPr="00D21BE9" w:rsidRDefault="00775C8F" w:rsidP="00775C8F">
      <w:pPr>
        <w:jc w:val="both"/>
        <w:rPr>
          <w:color w:val="000000" w:themeColor="text1"/>
        </w:rPr>
      </w:pPr>
    </w:p>
    <w:p w14:paraId="17C26945" w14:textId="77777777" w:rsidR="00775C8F" w:rsidRPr="00D21BE9" w:rsidRDefault="00775C8F" w:rsidP="00775C8F">
      <w:pPr>
        <w:jc w:val="both"/>
        <w:rPr>
          <w:color w:val="000000" w:themeColor="text1"/>
        </w:rPr>
      </w:pPr>
      <w:r w:rsidRPr="00D21BE9">
        <w:rPr>
          <w:color w:val="000000" w:themeColor="text1"/>
        </w:rPr>
        <w:t xml:space="preserve">All general practitioners and other healthcare professionals undertaking home or other visits are given information and advice about protecting their safety. </w:t>
      </w:r>
    </w:p>
    <w:p w14:paraId="184D43B3" w14:textId="77777777" w:rsidR="00775C8F" w:rsidRPr="00D21BE9" w:rsidRDefault="00775C8F" w:rsidP="00775C8F">
      <w:pPr>
        <w:jc w:val="both"/>
        <w:rPr>
          <w:color w:val="000000" w:themeColor="text1"/>
        </w:rPr>
      </w:pPr>
    </w:p>
    <w:p w14:paraId="672AF661" w14:textId="77777777" w:rsidR="00775C8F" w:rsidRPr="00484789" w:rsidRDefault="00775C8F" w:rsidP="00775C8F">
      <w:pPr>
        <w:jc w:val="both"/>
        <w:rPr>
          <w:color w:val="000000" w:themeColor="text1"/>
          <w:lang w:eastAsia="zh-CN"/>
        </w:rPr>
      </w:pPr>
      <w:r w:rsidRPr="00484789">
        <w:rPr>
          <w:color w:val="000000" w:themeColor="text1"/>
        </w:rPr>
        <w:lastRenderedPageBreak/>
        <w:t>There may be occasions where it is unsafe or unreasonable to provide a patient requesting care at home with a home visit; this may apply after-hours or within opening hours. Our practice advises the following options</w:t>
      </w:r>
      <w:r w:rsidRPr="00484789">
        <w:rPr>
          <w:rFonts w:hint="eastAsia"/>
          <w:color w:val="000000" w:themeColor="text1"/>
          <w:lang w:eastAsia="zh-CN"/>
        </w:rPr>
        <w:t>:</w:t>
      </w:r>
    </w:p>
    <w:p w14:paraId="763AC499" w14:textId="77777777" w:rsidR="00775C8F" w:rsidRPr="00484789" w:rsidRDefault="00775C8F" w:rsidP="00775C8F">
      <w:pPr>
        <w:jc w:val="both"/>
        <w:rPr>
          <w:color w:val="000000" w:themeColor="text1"/>
          <w:lang w:eastAsia="zh-CN"/>
        </w:rPr>
      </w:pPr>
      <w:r w:rsidRPr="00484789">
        <w:rPr>
          <w:color w:val="000000" w:themeColor="text1"/>
          <w:lang w:eastAsia="zh-CN"/>
        </w:rPr>
        <w:t>Telehealth appointments</w:t>
      </w:r>
    </w:p>
    <w:p w14:paraId="479507DC" w14:textId="77777777" w:rsidR="00775C8F" w:rsidRPr="00484789" w:rsidRDefault="00775C8F" w:rsidP="00775C8F">
      <w:pPr>
        <w:jc w:val="both"/>
        <w:rPr>
          <w:color w:val="000000" w:themeColor="text1"/>
          <w:lang w:val="en-US" w:eastAsia="zh-CN"/>
        </w:rPr>
      </w:pPr>
      <w:r w:rsidRPr="00484789">
        <w:rPr>
          <w:color w:val="000000" w:themeColor="text1"/>
          <w:lang w:val="en-US" w:eastAsia="zh-CN"/>
        </w:rPr>
        <w:t>Nurse-on-Call: 1300 60 60 24 (available 24/7 for free telephone health advice) or</w:t>
      </w:r>
    </w:p>
    <w:p w14:paraId="3B5B5A83" w14:textId="77777777" w:rsidR="00775C8F" w:rsidRPr="00484789" w:rsidRDefault="00775C8F" w:rsidP="00775C8F">
      <w:pPr>
        <w:jc w:val="both"/>
        <w:rPr>
          <w:i/>
          <w:color w:val="000000" w:themeColor="text1"/>
        </w:rPr>
      </w:pPr>
      <w:r w:rsidRPr="00484789">
        <w:rPr>
          <w:color w:val="000000" w:themeColor="text1"/>
        </w:rPr>
        <w:t xml:space="preserve">Nearest Emergency service: Royal Melbourne Hospital;  03 9324 7000;      300 Grattan St, Parkville VIC 3050 </w:t>
      </w:r>
    </w:p>
    <w:p w14:paraId="3AAC3A64" w14:textId="77777777" w:rsidR="00775C8F" w:rsidRPr="00484789" w:rsidRDefault="00775C8F" w:rsidP="00775C8F">
      <w:pPr>
        <w:jc w:val="both"/>
        <w:rPr>
          <w:color w:val="000000" w:themeColor="text1"/>
        </w:rPr>
      </w:pPr>
      <w:r w:rsidRPr="00484789">
        <w:rPr>
          <w:color w:val="000000" w:themeColor="text1"/>
        </w:rPr>
        <w:t xml:space="preserve">                                                   St Vincent’s Hospital;  9231 2211;     41 Victoria Parade, Fitzroy VIC 3065</w:t>
      </w:r>
    </w:p>
    <w:p w14:paraId="7C48F042" w14:textId="77777777" w:rsidR="00775C8F" w:rsidRPr="00D21BE9" w:rsidRDefault="00775C8F" w:rsidP="00775C8F">
      <w:pPr>
        <w:jc w:val="both"/>
        <w:rPr>
          <w:color w:val="000000" w:themeColor="text1"/>
        </w:rPr>
      </w:pPr>
      <w:r w:rsidRPr="00D21BE9">
        <w:rPr>
          <w:color w:val="000000" w:themeColor="text1"/>
        </w:rPr>
        <w:t>This advice is documented in the patient’s health record.</w:t>
      </w:r>
    </w:p>
    <w:p w14:paraId="1535FD54" w14:textId="77777777" w:rsidR="00775C8F" w:rsidRPr="00D21BE9" w:rsidRDefault="00775C8F" w:rsidP="00775C8F">
      <w:pPr>
        <w:jc w:val="both"/>
        <w:rPr>
          <w:color w:val="000000" w:themeColor="text1"/>
        </w:rPr>
      </w:pPr>
    </w:p>
    <w:p w14:paraId="534441D4" w14:textId="77777777" w:rsidR="00775C8F" w:rsidRDefault="00775C8F" w:rsidP="00775C8F">
      <w:pPr>
        <w:pStyle w:val="QIPConsultingHeadingLevel3"/>
        <w:rPr>
          <w:lang w:val="en-US" w:eastAsia="zh-CN"/>
        </w:rPr>
      </w:pPr>
      <w:r>
        <w:rPr>
          <w:lang w:val="en-US" w:eastAsia="zh-CN"/>
        </w:rPr>
        <w:t xml:space="preserve"> </w:t>
      </w:r>
      <w:r>
        <w:rPr>
          <w:lang w:val="en-US"/>
        </w:rPr>
        <w:t>Accessibility Policy</w:t>
      </w:r>
    </w:p>
    <w:p w14:paraId="7C9E3256" w14:textId="77777777" w:rsidR="00775C8F" w:rsidRPr="009377FC" w:rsidRDefault="00775C8F" w:rsidP="00775C8F">
      <w:pPr>
        <w:rPr>
          <w:rFonts w:asciiTheme="minorHAnsi" w:eastAsiaTheme="minorEastAsia" w:hAnsiTheme="minorHAnsi" w:cstheme="minorBidi"/>
          <w:color w:val="000000" w:themeColor="text1"/>
          <w:kern w:val="2"/>
          <w:sz w:val="24"/>
          <w:szCs w:val="24"/>
          <w:lang w:val="en-US"/>
          <w14:ligatures w14:val="standardContextual"/>
        </w:rPr>
      </w:pPr>
      <w:r>
        <w:rPr>
          <w:rFonts w:asciiTheme="minorHAnsi" w:eastAsiaTheme="minorEastAsia" w:hAnsiTheme="minorHAnsi" w:cstheme="minorBidi"/>
          <w:color w:val="000000" w:themeColor="text1"/>
          <w:kern w:val="2"/>
          <w:sz w:val="24"/>
          <w:szCs w:val="24"/>
          <w:lang w:val="en-US"/>
          <w14:ligatures w14:val="standardContextual"/>
        </w:rPr>
        <w:t xml:space="preserve">This </w:t>
      </w:r>
      <w:r w:rsidRPr="006F0B89">
        <w:rPr>
          <w:rFonts w:asciiTheme="minorHAnsi" w:eastAsiaTheme="minorEastAsia" w:hAnsiTheme="minorHAnsi" w:cstheme="minorBidi"/>
          <w:color w:val="000000" w:themeColor="text1"/>
          <w:kern w:val="2"/>
          <w:sz w:val="24"/>
          <w:szCs w:val="24"/>
          <w:lang w:val="en-US"/>
          <w14:ligatures w14:val="standardContextual"/>
        </w:rPr>
        <w:t xml:space="preserve">policy supports our sister clinic – AIM Health Melbourne </w:t>
      </w:r>
      <w:r>
        <w:rPr>
          <w:rFonts w:asciiTheme="minorHAnsi" w:eastAsiaTheme="minorEastAsia" w:hAnsiTheme="minorHAnsi" w:cstheme="minorBidi"/>
          <w:color w:val="000000" w:themeColor="text1"/>
          <w:kern w:val="2"/>
          <w:sz w:val="24"/>
          <w:szCs w:val="24"/>
          <w:lang w:val="en-US"/>
          <w14:ligatures w14:val="standardContextual"/>
        </w:rPr>
        <w:t xml:space="preserve">Student </w:t>
      </w:r>
      <w:r w:rsidRPr="006F0B89">
        <w:rPr>
          <w:rFonts w:asciiTheme="minorHAnsi" w:eastAsiaTheme="minorEastAsia" w:hAnsiTheme="minorHAnsi" w:cstheme="minorBidi"/>
          <w:color w:val="000000" w:themeColor="text1"/>
          <w:kern w:val="2"/>
          <w:sz w:val="24"/>
          <w:szCs w:val="24"/>
          <w:lang w:val="en-US"/>
          <w14:ligatures w14:val="standardContextual"/>
        </w:rPr>
        <w:t xml:space="preserve">Medical Centre’s Accessibility Policy, which outlines alternative access options for patients with disability who cannot access AIM Health Melbourne </w:t>
      </w:r>
      <w:r>
        <w:rPr>
          <w:rFonts w:asciiTheme="minorHAnsi" w:eastAsiaTheme="minorEastAsia" w:hAnsiTheme="minorHAnsi" w:cstheme="minorBidi"/>
          <w:color w:val="000000" w:themeColor="text1"/>
          <w:kern w:val="2"/>
          <w:sz w:val="24"/>
          <w:szCs w:val="24"/>
          <w:lang w:val="en-US"/>
          <w14:ligatures w14:val="standardContextual"/>
        </w:rPr>
        <w:t>Student</w:t>
      </w:r>
      <w:r w:rsidRPr="006F0B89">
        <w:rPr>
          <w:rFonts w:asciiTheme="minorHAnsi" w:eastAsiaTheme="minorEastAsia" w:hAnsiTheme="minorHAnsi" w:cstheme="minorBidi"/>
          <w:color w:val="000000" w:themeColor="text1"/>
          <w:kern w:val="2"/>
          <w:sz w:val="24"/>
          <w:szCs w:val="24"/>
          <w:lang w:val="en-US"/>
          <w14:ligatures w14:val="standardContextual"/>
        </w:rPr>
        <w:t xml:space="preserve"> Medical Centre. A separate internal agreement exists between the two clinics.</w:t>
      </w:r>
    </w:p>
    <w:p w14:paraId="5BFE02A7" w14:textId="77777777" w:rsidR="00775C8F" w:rsidRDefault="00775C8F" w:rsidP="00775C8F">
      <w:pPr>
        <w:pStyle w:val="QIPConsultingHeadingLevel3"/>
        <w:numPr>
          <w:ilvl w:val="0"/>
          <w:numId w:val="0"/>
        </w:numPr>
        <w:ind w:left="680" w:hanging="680"/>
        <w:rPr>
          <w:lang w:val="en-US" w:eastAsia="zh-CN"/>
        </w:rPr>
      </w:pPr>
    </w:p>
    <w:p w14:paraId="3AB8B2C9" w14:textId="77777777" w:rsidR="00775C8F" w:rsidRPr="00484789" w:rsidRDefault="00775C8F" w:rsidP="00775C8F">
      <w:pPr>
        <w:pStyle w:val="QIPConsultingHeadingLevel3"/>
        <w:rPr>
          <w:lang w:val="en-US" w:eastAsia="zh-CN"/>
        </w:rPr>
      </w:pPr>
      <w:r w:rsidRPr="00484789">
        <w:rPr>
          <w:lang w:val="en-US" w:eastAsia="zh-CN"/>
        </w:rPr>
        <w:t>Telehealth as an Alternative to Home Visits</w:t>
      </w:r>
    </w:p>
    <w:p w14:paraId="5AAF94FF" w14:textId="77777777" w:rsidR="00775C8F" w:rsidRPr="00484789" w:rsidRDefault="00775C8F" w:rsidP="00775C8F">
      <w:pPr>
        <w:spacing w:line="240" w:lineRule="auto"/>
        <w:contextualSpacing w:val="0"/>
        <w:rPr>
          <w:color w:val="000000" w:themeColor="text1"/>
          <w:lang w:val="en-US" w:eastAsia="zh-CN"/>
        </w:rPr>
      </w:pPr>
      <w:r w:rsidRPr="00484789">
        <w:rPr>
          <w:color w:val="000000" w:themeColor="text1"/>
          <w:lang w:val="en-US" w:eastAsia="zh-CN"/>
        </w:rPr>
        <w:t>Telehealth (phone or video) consultations are offered where appropriate to support patients who are acutely unwell, immobile, or otherwise unable to attend the clinic in person. This option is especially useful when a home visit is not immediately feasible or deemed unsafe. All Telehealth consultations are documented in the patient’s electronic health record, with relevant clinical notes and follow-up actions.</w:t>
      </w:r>
    </w:p>
    <w:p w14:paraId="1CF3DB85" w14:textId="77777777" w:rsidR="00775C8F" w:rsidRDefault="00775C8F" w:rsidP="00775C8F">
      <w:pPr>
        <w:spacing w:line="240" w:lineRule="auto"/>
        <w:contextualSpacing w:val="0"/>
        <w:rPr>
          <w:color w:val="000000" w:themeColor="text1"/>
          <w:lang w:val="en-US" w:eastAsia="zh-CN"/>
        </w:rPr>
      </w:pPr>
    </w:p>
    <w:p w14:paraId="58E2D1CB" w14:textId="77777777" w:rsidR="004A7C8C" w:rsidRPr="004A7C8C" w:rsidRDefault="004A7C8C">
      <w:pPr>
        <w:rPr>
          <w:lang w:val="en-US"/>
        </w:rPr>
      </w:pPr>
    </w:p>
    <w:sectPr w:rsidR="004A7C8C" w:rsidRPr="004A7C8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6151C" w14:textId="77777777" w:rsidR="004A2DC6" w:rsidRDefault="004A2DC6" w:rsidP="00775C8F">
      <w:pPr>
        <w:spacing w:line="240" w:lineRule="auto"/>
      </w:pPr>
      <w:r>
        <w:separator/>
      </w:r>
    </w:p>
  </w:endnote>
  <w:endnote w:type="continuationSeparator" w:id="0">
    <w:p w14:paraId="6C97A593" w14:textId="77777777" w:rsidR="004A2DC6" w:rsidRDefault="004A2DC6" w:rsidP="00775C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9B13" w14:textId="77777777" w:rsidR="00775C8F" w:rsidRDefault="00775C8F">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10551021" w14:textId="77777777" w:rsidR="00775C8F" w:rsidRDefault="00775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59C16" w14:textId="77777777" w:rsidR="004A2DC6" w:rsidRDefault="004A2DC6" w:rsidP="00775C8F">
      <w:pPr>
        <w:spacing w:line="240" w:lineRule="auto"/>
      </w:pPr>
      <w:r>
        <w:separator/>
      </w:r>
    </w:p>
  </w:footnote>
  <w:footnote w:type="continuationSeparator" w:id="0">
    <w:p w14:paraId="1847B051" w14:textId="77777777" w:rsidR="004A2DC6" w:rsidRDefault="004A2DC6" w:rsidP="00775C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88F0D" w14:textId="542F6D20" w:rsidR="00775C8F" w:rsidRDefault="00775C8F">
    <w:pPr>
      <w:pStyle w:val="Header"/>
    </w:pPr>
    <w:r>
      <w:tab/>
    </w:r>
    <w:r>
      <w:tab/>
    </w:r>
    <w:r>
      <w:rPr>
        <w:noProof/>
        <w14:ligatures w14:val="standardContextual"/>
      </w:rPr>
      <w:drawing>
        <wp:inline distT="0" distB="0" distL="0" distR="0" wp14:anchorId="5A0DEE94" wp14:editId="192EB9D2">
          <wp:extent cx="550190" cy="512519"/>
          <wp:effectExtent l="0" t="0" r="0" b="0"/>
          <wp:docPr id="1790892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892427" name="Picture 1790892427"/>
                  <pic:cNvPicPr/>
                </pic:nvPicPr>
                <pic:blipFill>
                  <a:blip r:embed="rId1">
                    <a:extLst>
                      <a:ext uri="{28A0092B-C50C-407E-A947-70E740481C1C}">
                        <a14:useLocalDpi xmlns:a14="http://schemas.microsoft.com/office/drawing/2010/main" val="0"/>
                      </a:ext>
                    </a:extLst>
                  </a:blip>
                  <a:stretch>
                    <a:fillRect/>
                  </a:stretch>
                </pic:blipFill>
                <pic:spPr>
                  <a:xfrm>
                    <a:off x="0" y="0"/>
                    <a:ext cx="566791" cy="5279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437D1"/>
    <w:multiLevelType w:val="hybridMultilevel"/>
    <w:tmpl w:val="A64051CC"/>
    <w:lvl w:ilvl="0" w:tplc="AED0D326">
      <w:start w:val="1"/>
      <w:numFmt w:val="bullet"/>
      <w:pStyle w:val="QIPbullet"/>
      <w:lvlText w:val=""/>
      <w:lvlJc w:val="left"/>
      <w:pPr>
        <w:ind w:left="108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963E19"/>
    <w:multiLevelType w:val="hybridMultilevel"/>
    <w:tmpl w:val="76668A86"/>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702"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45759991">
    <w:abstractNumId w:val="1"/>
  </w:num>
  <w:num w:numId="2" w16cid:durableId="768622852">
    <w:abstractNumId w:val="2"/>
  </w:num>
  <w:num w:numId="3" w16cid:durableId="193547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8C"/>
    <w:rsid w:val="004A2DC6"/>
    <w:rsid w:val="004A7C8C"/>
    <w:rsid w:val="00775C8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4626BD2"/>
  <w15:chartTrackingRefBased/>
  <w15:docId w15:val="{F8DF75FD-0E08-644E-8DE5-F9257B593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QIP Consulting Body Text"/>
    <w:qFormat/>
    <w:rsid w:val="004A7C8C"/>
    <w:pPr>
      <w:spacing w:line="288" w:lineRule="auto"/>
      <w:contextualSpacing/>
    </w:pPr>
    <w:rPr>
      <w:rFonts w:ascii="Calibri" w:eastAsia="SimSun" w:hAnsi="Calibri" w:cs="Times New Roman"/>
      <w:kern w:val="0"/>
      <w:sz w:val="22"/>
      <w:szCs w:val="2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IPConsultingBullet2">
    <w:name w:val="QIP Consulting Bullet 2"/>
    <w:basedOn w:val="ListParagraph"/>
    <w:link w:val="QIPConsultingBullet2Char"/>
    <w:qFormat/>
    <w:rsid w:val="004A7C8C"/>
    <w:pPr>
      <w:numPr>
        <w:numId w:val="1"/>
      </w:numPr>
    </w:pPr>
  </w:style>
  <w:style w:type="paragraph" w:customStyle="1" w:styleId="QIPConsultingHeading1">
    <w:name w:val="QIP Consulting # Heading 1"/>
    <w:basedOn w:val="Normal"/>
    <w:qFormat/>
    <w:rsid w:val="004A7C8C"/>
    <w:pPr>
      <w:numPr>
        <w:numId w:val="2"/>
      </w:numPr>
      <w:spacing w:before="360"/>
      <w:outlineLvl w:val="1"/>
    </w:pPr>
    <w:rPr>
      <w:b/>
      <w:bCs/>
      <w:sz w:val="28"/>
      <w:szCs w:val="28"/>
    </w:rPr>
  </w:style>
  <w:style w:type="character" w:customStyle="1" w:styleId="QIPConsultingBullet2Char">
    <w:name w:val="QIP Consulting Bullet 2 Char"/>
    <w:link w:val="QIPConsultingBullet2"/>
    <w:rsid w:val="004A7C8C"/>
    <w:rPr>
      <w:rFonts w:ascii="Calibri" w:eastAsia="SimSun" w:hAnsi="Calibri" w:cs="Times New Roman"/>
      <w:kern w:val="0"/>
      <w:sz w:val="22"/>
      <w:szCs w:val="20"/>
      <w:lang w:eastAsia="en-US"/>
      <w14:ligatures w14:val="none"/>
    </w:rPr>
  </w:style>
  <w:style w:type="paragraph" w:customStyle="1" w:styleId="QIPConsultingHeading2">
    <w:name w:val="QIP Consulting # Heading 2"/>
    <w:basedOn w:val="QIPConsultingHeading1"/>
    <w:link w:val="QIPConsultingHeading2Char"/>
    <w:qFormat/>
    <w:rsid w:val="004A7C8C"/>
    <w:pPr>
      <w:numPr>
        <w:ilvl w:val="1"/>
      </w:numPr>
      <w:ind w:left="680" w:hanging="680"/>
    </w:pPr>
  </w:style>
  <w:style w:type="character" w:customStyle="1" w:styleId="QIPConsultingHeading2Char">
    <w:name w:val="QIP Consulting # Heading 2 Char"/>
    <w:link w:val="QIPConsultingHeading2"/>
    <w:rsid w:val="004A7C8C"/>
    <w:rPr>
      <w:rFonts w:ascii="Calibri" w:eastAsia="SimSun" w:hAnsi="Calibri" w:cs="Times New Roman"/>
      <w:b/>
      <w:bCs/>
      <w:kern w:val="0"/>
      <w:sz w:val="28"/>
      <w:szCs w:val="28"/>
      <w:lang w:eastAsia="en-US"/>
      <w14:ligatures w14:val="none"/>
    </w:rPr>
  </w:style>
  <w:style w:type="paragraph" w:customStyle="1" w:styleId="QIPConsultingHeadingLevel3">
    <w:name w:val="QIP Consulting # Heading Level 3"/>
    <w:basedOn w:val="QIPConsultingHeading2"/>
    <w:link w:val="QIPConsultingHeadingLevel3Char"/>
    <w:qFormat/>
    <w:rsid w:val="004A7C8C"/>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4A7C8C"/>
    <w:rPr>
      <w:rFonts w:ascii="Calibri" w:eastAsia="SimSun" w:hAnsi="Calibri" w:cs="Times New Roman"/>
      <w:b/>
      <w:bCs/>
      <w:kern w:val="0"/>
      <w:sz w:val="22"/>
      <w:szCs w:val="22"/>
      <w:lang w:eastAsia="en-US"/>
      <w14:ligatures w14:val="none"/>
    </w:rPr>
  </w:style>
  <w:style w:type="paragraph" w:customStyle="1" w:styleId="QIPConsultingHeaderLevel4">
    <w:name w:val="QIP Consulting Header Level 4"/>
    <w:basedOn w:val="QIPConsultingHeadingLevel3"/>
    <w:qFormat/>
    <w:rsid w:val="004A7C8C"/>
    <w:pPr>
      <w:numPr>
        <w:ilvl w:val="3"/>
      </w:numPr>
      <w:tabs>
        <w:tab w:val="num" w:pos="360"/>
      </w:tabs>
      <w:ind w:left="851" w:hanging="851"/>
    </w:pPr>
  </w:style>
  <w:style w:type="paragraph" w:customStyle="1" w:styleId="QIPbullet">
    <w:name w:val="QIP bullet"/>
    <w:basedOn w:val="ListParagraph"/>
    <w:next w:val="Normal"/>
    <w:link w:val="QIPbulletChar"/>
    <w:qFormat/>
    <w:rsid w:val="004A7C8C"/>
    <w:pPr>
      <w:numPr>
        <w:numId w:val="3"/>
      </w:numPr>
      <w:contextualSpacing w:val="0"/>
    </w:pPr>
    <w:rPr>
      <w:color w:val="000000"/>
      <w:szCs w:val="24"/>
      <w:lang w:eastAsia="en-AU"/>
    </w:rPr>
  </w:style>
  <w:style w:type="character" w:customStyle="1" w:styleId="QIPbulletChar">
    <w:name w:val="QIP bullet Char"/>
    <w:link w:val="QIPbullet"/>
    <w:rsid w:val="004A7C8C"/>
    <w:rPr>
      <w:rFonts w:ascii="Calibri" w:eastAsia="SimSun" w:hAnsi="Calibri" w:cs="Times New Roman"/>
      <w:color w:val="000000"/>
      <w:kern w:val="0"/>
      <w:sz w:val="22"/>
      <w:lang w:eastAsia="en-AU"/>
      <w14:ligatures w14:val="none"/>
    </w:rPr>
  </w:style>
  <w:style w:type="paragraph" w:styleId="ListParagraph">
    <w:name w:val="List Paragraph"/>
    <w:basedOn w:val="Normal"/>
    <w:uiPriority w:val="34"/>
    <w:qFormat/>
    <w:rsid w:val="004A7C8C"/>
    <w:pPr>
      <w:ind w:left="720"/>
    </w:pPr>
  </w:style>
  <w:style w:type="paragraph" w:styleId="Header">
    <w:name w:val="header"/>
    <w:basedOn w:val="Normal"/>
    <w:link w:val="HeaderChar"/>
    <w:uiPriority w:val="99"/>
    <w:unhideWhenUsed/>
    <w:rsid w:val="00775C8F"/>
    <w:pPr>
      <w:tabs>
        <w:tab w:val="center" w:pos="4513"/>
        <w:tab w:val="right" w:pos="9026"/>
      </w:tabs>
      <w:spacing w:line="240" w:lineRule="auto"/>
    </w:pPr>
  </w:style>
  <w:style w:type="character" w:customStyle="1" w:styleId="HeaderChar">
    <w:name w:val="Header Char"/>
    <w:basedOn w:val="DefaultParagraphFont"/>
    <w:link w:val="Header"/>
    <w:uiPriority w:val="99"/>
    <w:rsid w:val="00775C8F"/>
    <w:rPr>
      <w:rFonts w:ascii="Calibri" w:eastAsia="SimSun" w:hAnsi="Calibri" w:cs="Times New Roman"/>
      <w:kern w:val="0"/>
      <w:sz w:val="22"/>
      <w:szCs w:val="20"/>
      <w:lang w:eastAsia="en-US"/>
      <w14:ligatures w14:val="none"/>
    </w:rPr>
  </w:style>
  <w:style w:type="paragraph" w:styleId="Footer">
    <w:name w:val="footer"/>
    <w:basedOn w:val="Normal"/>
    <w:link w:val="FooterChar"/>
    <w:uiPriority w:val="99"/>
    <w:unhideWhenUsed/>
    <w:rsid w:val="00775C8F"/>
    <w:pPr>
      <w:tabs>
        <w:tab w:val="center" w:pos="4513"/>
        <w:tab w:val="right" w:pos="9026"/>
      </w:tabs>
      <w:spacing w:line="240" w:lineRule="auto"/>
    </w:pPr>
  </w:style>
  <w:style w:type="character" w:customStyle="1" w:styleId="FooterChar">
    <w:name w:val="Footer Char"/>
    <w:basedOn w:val="DefaultParagraphFont"/>
    <w:link w:val="Footer"/>
    <w:uiPriority w:val="99"/>
    <w:rsid w:val="00775C8F"/>
    <w:rPr>
      <w:rFonts w:ascii="Calibri" w:eastAsia="SimSun" w:hAnsi="Calibri" w:cs="Times New Roman"/>
      <w:kern w:val="0"/>
      <w:sz w:val="22"/>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 Gao</dc:creator>
  <cp:keywords/>
  <dc:description/>
  <cp:lastModifiedBy>Coco Gao</cp:lastModifiedBy>
  <cp:revision>1</cp:revision>
  <dcterms:created xsi:type="dcterms:W3CDTF">2025-09-29T05:53:00Z</dcterms:created>
  <dcterms:modified xsi:type="dcterms:W3CDTF">2025-09-29T06:05:00Z</dcterms:modified>
</cp:coreProperties>
</file>